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388"/>
      </w:tblGrid>
      <w:tr w:rsidR="00B92D0F" w14:paraId="648DA1D1" w14:textId="77777777" w:rsidTr="00B128F2">
        <w:trPr>
          <w:trHeight w:val="479"/>
        </w:trPr>
        <w:tc>
          <w:tcPr>
            <w:tcW w:w="5388" w:type="dxa"/>
            <w:tcBorders>
              <w:top w:val="nil"/>
              <w:left w:val="nil"/>
              <w:bottom w:val="nil"/>
              <w:right w:val="nil"/>
            </w:tcBorders>
          </w:tcPr>
          <w:p w14:paraId="334120A1" w14:textId="7B433B29" w:rsidR="00B92D0F" w:rsidRDefault="00B92D0F" w:rsidP="00B92D0F">
            <w:pPr>
              <w:contextualSpacing/>
              <w:rPr>
                <w:rFonts w:ascii="PDF417x" w:hAnsi="PDF417x"/>
                <w:sz w:val="24"/>
                <w:szCs w:val="24"/>
              </w:rPr>
            </w:pPr>
            <w:bookmarkStart w:id="0" w:name="_Hlk107255613"/>
          </w:p>
        </w:tc>
      </w:tr>
      <w:bookmarkEnd w:id="0"/>
    </w:tbl>
    <w:tbl>
      <w:tblPr>
        <w:tblStyle w:val="TableGrid1"/>
        <w:tblpPr w:leftFromText="180" w:rightFromText="180" w:vertAnchor="text" w:horzAnchor="page" w:tblpX="8716" w:tblpY="-1586"/>
        <w:tblW w:w="0" w:type="auto"/>
        <w:tblLook w:val="04A0" w:firstRow="1" w:lastRow="0" w:firstColumn="1" w:lastColumn="0" w:noHBand="0" w:noVBand="1"/>
      </w:tblPr>
      <w:tblGrid>
        <w:gridCol w:w="2445"/>
      </w:tblGrid>
      <w:tr w:rsidR="00675A85" w:rsidRPr="00B92D0F" w14:paraId="302019E5" w14:textId="77777777" w:rsidTr="008C5404">
        <w:trPr>
          <w:trHeight w:val="1408"/>
        </w:trPr>
        <w:tc>
          <w:tcPr>
            <w:tcW w:w="2445" w:type="dxa"/>
            <w:tcBorders>
              <w:top w:val="nil"/>
              <w:left w:val="nil"/>
              <w:bottom w:val="nil"/>
              <w:right w:val="nil"/>
            </w:tcBorders>
          </w:tcPr>
          <w:p w14:paraId="2885CD42" w14:textId="77777777" w:rsidR="00675A85" w:rsidRPr="00B92D0F" w:rsidRDefault="00675A85" w:rsidP="008C5404">
            <w:pPr>
              <w:contextualSpacing/>
              <w:rPr>
                <w:rFonts w:ascii="PDF417x" w:eastAsia="Times New Roman" w:hAnsi="PDF417x" w:cs="Times New Roman"/>
                <w:sz w:val="24"/>
                <w:szCs w:val="24"/>
              </w:rPr>
            </w:pPr>
          </w:p>
        </w:tc>
      </w:tr>
    </w:tbl>
    <w:p w14:paraId="5A8E3384" w14:textId="77777777" w:rsidR="00B92D0F" w:rsidRPr="00B92D0F" w:rsidRDefault="00B92D0F" w:rsidP="00B92D0F">
      <w:pPr>
        <w:jc w:val="both"/>
        <w:rPr>
          <w:rFonts w:eastAsia="Times New Roman" w:cs="Times New Roman"/>
          <w:noProof w:val="0"/>
        </w:rPr>
      </w:pPr>
    </w:p>
    <w:p w14:paraId="1C5B3A2E" w14:textId="77777777" w:rsidR="00B92D0F" w:rsidRPr="00B128F2" w:rsidRDefault="00B92D0F" w:rsidP="00B92D0F">
      <w:pPr>
        <w:jc w:val="both"/>
        <w:rPr>
          <w:rFonts w:eastAsia="Times New Roman" w:cstheme="minorHAnsi"/>
          <w:noProof w:val="0"/>
        </w:rPr>
      </w:pPr>
    </w:p>
    <w:p w14:paraId="72D3A769" w14:textId="77777777" w:rsidR="00B128F2" w:rsidRPr="00B128F2" w:rsidRDefault="00B128F2" w:rsidP="00B128F2">
      <w:pPr>
        <w:spacing w:line="276" w:lineRule="auto"/>
        <w:jc w:val="both"/>
        <w:rPr>
          <w:rFonts w:cstheme="minorHAnsi"/>
        </w:rPr>
      </w:pPr>
      <w:r w:rsidRPr="00B128F2">
        <w:rPr>
          <w:rFonts w:cstheme="minorHAnsi"/>
        </w:rPr>
        <w:t>Na osnovu članaka 109., 113. i 198. Zakona o prostornom uređenju („Narodne novine“ broj 153/13, 65/17, 114/18, 39/19, 98/19 i 67/23), članka 34. Statuta Grada Čazme („Službeni vjesnik” Grada Čazme broj 13/21), Gradsko vijeće Grada Čazme, na 18. sjednici održanoj 19. siječnja 2024. godine, donosi</w:t>
      </w:r>
    </w:p>
    <w:p w14:paraId="3CCA69E5" w14:textId="77777777" w:rsidR="00B128F2" w:rsidRPr="00B128F2" w:rsidRDefault="00B128F2" w:rsidP="00B128F2">
      <w:pPr>
        <w:pStyle w:val="TekstCharChar"/>
        <w:spacing w:line="276" w:lineRule="auto"/>
        <w:jc w:val="center"/>
        <w:rPr>
          <w:rFonts w:asciiTheme="minorHAnsi" w:hAnsiTheme="minorHAnsi" w:cstheme="minorHAnsi"/>
          <w:sz w:val="22"/>
          <w:szCs w:val="22"/>
          <w:lang w:val="hr-HR"/>
        </w:rPr>
      </w:pPr>
    </w:p>
    <w:p w14:paraId="3C4D4EAF" w14:textId="77777777" w:rsidR="00B128F2" w:rsidRPr="00B128F2" w:rsidRDefault="00B128F2" w:rsidP="00B128F2">
      <w:pPr>
        <w:pStyle w:val="TekstCharChar"/>
        <w:spacing w:line="276" w:lineRule="auto"/>
        <w:jc w:val="center"/>
        <w:rPr>
          <w:rFonts w:asciiTheme="minorHAnsi" w:hAnsiTheme="minorHAnsi" w:cstheme="minorHAnsi"/>
          <w:b/>
          <w:sz w:val="22"/>
          <w:szCs w:val="22"/>
          <w:lang w:val="hr-HR"/>
        </w:rPr>
      </w:pPr>
      <w:r w:rsidRPr="00B128F2">
        <w:rPr>
          <w:rFonts w:asciiTheme="minorHAnsi" w:hAnsiTheme="minorHAnsi" w:cstheme="minorHAnsi"/>
          <w:b/>
          <w:sz w:val="22"/>
          <w:szCs w:val="22"/>
          <w:lang w:val="hr-HR"/>
        </w:rPr>
        <w:t>ODLUKU</w:t>
      </w:r>
    </w:p>
    <w:p w14:paraId="7CD056E7" w14:textId="77777777" w:rsidR="00B128F2" w:rsidRPr="00B128F2" w:rsidRDefault="00B128F2" w:rsidP="00B128F2">
      <w:pPr>
        <w:pStyle w:val="TekstCharChar"/>
        <w:spacing w:line="276" w:lineRule="auto"/>
        <w:jc w:val="center"/>
        <w:rPr>
          <w:rFonts w:asciiTheme="minorHAnsi" w:hAnsiTheme="minorHAnsi" w:cstheme="minorHAnsi"/>
          <w:b/>
          <w:sz w:val="22"/>
          <w:szCs w:val="22"/>
          <w:lang w:val="hr-HR"/>
        </w:rPr>
      </w:pPr>
      <w:r w:rsidRPr="00B128F2">
        <w:rPr>
          <w:rFonts w:asciiTheme="minorHAnsi" w:hAnsiTheme="minorHAnsi" w:cstheme="minorHAnsi"/>
          <w:b/>
          <w:sz w:val="22"/>
          <w:szCs w:val="22"/>
          <w:lang w:val="hr-HR"/>
        </w:rPr>
        <w:t>o donošenju II. Izmjena i dopuna Urbanističkog plana uređenja građevinskog područja stambene zone Grada Čazme</w:t>
      </w:r>
    </w:p>
    <w:p w14:paraId="5FA2D91F" w14:textId="77777777" w:rsidR="00B128F2" w:rsidRPr="00B128F2" w:rsidRDefault="00B128F2" w:rsidP="00B128F2">
      <w:pPr>
        <w:pStyle w:val="TekstCharChar"/>
        <w:spacing w:line="276" w:lineRule="auto"/>
        <w:jc w:val="center"/>
        <w:rPr>
          <w:rFonts w:asciiTheme="minorHAnsi" w:hAnsiTheme="minorHAnsi" w:cstheme="minorHAnsi"/>
          <w:bCs/>
          <w:color w:val="0000FF"/>
          <w:sz w:val="22"/>
          <w:szCs w:val="22"/>
          <w:lang w:val="en-US" w:eastAsia="hr-HR"/>
        </w:rPr>
      </w:pPr>
    </w:p>
    <w:p w14:paraId="0570682F" w14:textId="77777777" w:rsidR="00B128F2" w:rsidRPr="00B128F2" w:rsidRDefault="00B128F2" w:rsidP="00B128F2">
      <w:pPr>
        <w:pStyle w:val="H0"/>
        <w:numPr>
          <w:ilvl w:val="0"/>
          <w:numId w:val="2"/>
        </w:numPr>
        <w:tabs>
          <w:tab w:val="left" w:pos="3800"/>
        </w:tabs>
        <w:spacing w:line="276" w:lineRule="auto"/>
        <w:jc w:val="left"/>
        <w:rPr>
          <w:rFonts w:asciiTheme="minorHAnsi" w:hAnsiTheme="minorHAnsi" w:cstheme="minorHAnsi"/>
          <w:sz w:val="22"/>
          <w:szCs w:val="22"/>
          <w:lang w:val="hr-HR"/>
        </w:rPr>
      </w:pPr>
      <w:bookmarkStart w:id="1" w:name="_Toc146010804"/>
      <w:r w:rsidRPr="00B128F2">
        <w:rPr>
          <w:rFonts w:asciiTheme="minorHAnsi" w:hAnsiTheme="minorHAnsi" w:cstheme="minorHAnsi"/>
          <w:sz w:val="22"/>
          <w:szCs w:val="22"/>
          <w:lang w:val="hr-HR"/>
        </w:rPr>
        <w:t>OPĆE odredbe</w:t>
      </w:r>
      <w:bookmarkEnd w:id="1"/>
    </w:p>
    <w:p w14:paraId="44599875" w14:textId="77777777" w:rsidR="00B128F2" w:rsidRPr="00B128F2" w:rsidRDefault="00B128F2" w:rsidP="00B128F2">
      <w:pPr>
        <w:spacing w:line="276" w:lineRule="auto"/>
        <w:jc w:val="center"/>
        <w:rPr>
          <w:rFonts w:cstheme="minorHAnsi"/>
          <w:b/>
        </w:rPr>
      </w:pPr>
      <w:r w:rsidRPr="00B128F2">
        <w:rPr>
          <w:rFonts w:cstheme="minorHAnsi"/>
          <w:b/>
        </w:rPr>
        <w:t>Glava I.</w:t>
      </w:r>
    </w:p>
    <w:p w14:paraId="3C3AA1FC" w14:textId="77777777" w:rsidR="00B128F2" w:rsidRPr="00B128F2" w:rsidRDefault="00B128F2" w:rsidP="00B128F2">
      <w:pPr>
        <w:pStyle w:val="Tijeloteksta2"/>
        <w:spacing w:line="276" w:lineRule="auto"/>
        <w:rPr>
          <w:rFonts w:cstheme="minorHAnsi"/>
        </w:rPr>
      </w:pPr>
      <w:r w:rsidRPr="00B128F2">
        <w:rPr>
          <w:rFonts w:cstheme="minorHAnsi"/>
        </w:rPr>
        <w:t>Ovom odlukom donose se II. Izmjene i dopune Urbanističkog plana uređenja građevinskog područja stambene zone Grada Čazme, („Službeni vjesnik“ Grada Čazme br. 10/09 i 48/19), koje je izradila tvrtka PLANIMETAR d.o.o. iz Gornjeg Dragonošca u koordinaciji s nositeljem izrade Upravnim odjelom za proračun, komunalno gospodarstvo, gospodarstvo, zaštitu okoliša i ekologiju.</w:t>
      </w:r>
    </w:p>
    <w:p w14:paraId="30652673" w14:textId="77777777" w:rsidR="00B128F2" w:rsidRPr="00B128F2" w:rsidRDefault="00B128F2" w:rsidP="00B128F2">
      <w:pPr>
        <w:spacing w:line="276" w:lineRule="auto"/>
        <w:jc w:val="center"/>
        <w:rPr>
          <w:rFonts w:cstheme="minorHAnsi"/>
          <w:b/>
        </w:rPr>
      </w:pPr>
      <w:r w:rsidRPr="00B128F2">
        <w:rPr>
          <w:rFonts w:cstheme="minorHAnsi"/>
          <w:b/>
        </w:rPr>
        <w:t>Glava II.</w:t>
      </w:r>
    </w:p>
    <w:p w14:paraId="3380E4D1" w14:textId="77777777" w:rsidR="00B128F2" w:rsidRPr="00B128F2" w:rsidRDefault="00B128F2" w:rsidP="00B128F2">
      <w:pPr>
        <w:spacing w:line="276" w:lineRule="auto"/>
        <w:ind w:right="20"/>
        <w:jc w:val="both"/>
        <w:rPr>
          <w:rFonts w:cstheme="minorHAnsi"/>
        </w:rPr>
      </w:pPr>
      <w:r w:rsidRPr="00B128F2">
        <w:rPr>
          <w:rFonts w:cstheme="minorHAnsi"/>
        </w:rPr>
        <w:t>Sastavni dio ove odluke je Elaborat pod nazivom „II. Izmjene i dopune Urbanističkog plana uređenja građevinskog područja stambene zone Grada Čazme“ koji sadrži:</w:t>
      </w:r>
    </w:p>
    <w:p w14:paraId="72D6F400" w14:textId="77777777" w:rsidR="00B128F2" w:rsidRPr="00B128F2" w:rsidRDefault="00B128F2" w:rsidP="00B128F2">
      <w:pPr>
        <w:spacing w:line="276" w:lineRule="auto"/>
        <w:rPr>
          <w:rFonts w:cstheme="minorHAnsi"/>
        </w:rPr>
      </w:pPr>
      <w:r w:rsidRPr="00B128F2">
        <w:rPr>
          <w:rFonts w:cstheme="minorHAnsi"/>
          <w:b/>
        </w:rPr>
        <w:t>I - TEKSTUALNI DIO PLANA</w:t>
      </w:r>
      <w:r w:rsidRPr="00B128F2">
        <w:rPr>
          <w:rFonts w:cstheme="minorHAnsi"/>
        </w:rPr>
        <w:t xml:space="preserve"> - Odredbe za provođenje </w:t>
      </w:r>
    </w:p>
    <w:p w14:paraId="3B5B882E" w14:textId="77777777" w:rsidR="00B128F2" w:rsidRPr="00B128F2" w:rsidRDefault="00B128F2" w:rsidP="00B128F2">
      <w:pPr>
        <w:spacing w:line="276" w:lineRule="auto"/>
        <w:rPr>
          <w:rFonts w:cstheme="minorHAnsi"/>
        </w:rPr>
      </w:pPr>
      <w:r w:rsidRPr="00B128F2">
        <w:rPr>
          <w:rFonts w:cstheme="minorHAnsi"/>
          <w:b/>
        </w:rPr>
        <w:t>II - GRAFIČKI DIO PLANA</w:t>
      </w:r>
      <w:r w:rsidRPr="00B128F2">
        <w:rPr>
          <w:rFonts w:cstheme="minorHAnsi"/>
        </w:rPr>
        <w:t xml:space="preserve"> - kartografski prikazi u mj. 1:2000:</w:t>
      </w:r>
    </w:p>
    <w:p w14:paraId="41842101" w14:textId="77777777" w:rsidR="00B128F2" w:rsidRPr="00B128F2" w:rsidRDefault="00B128F2" w:rsidP="00B128F2">
      <w:pPr>
        <w:pStyle w:val="toa"/>
        <w:numPr>
          <w:ilvl w:val="0"/>
          <w:numId w:val="3"/>
        </w:numPr>
        <w:tabs>
          <w:tab w:val="clear" w:pos="9000"/>
          <w:tab w:val="clear" w:pos="9360"/>
          <w:tab w:val="left" w:pos="1000"/>
        </w:tabs>
        <w:suppressAutoHyphens w:val="0"/>
        <w:spacing w:after="0" w:line="276" w:lineRule="auto"/>
        <w:ind w:leftChars="200" w:left="440"/>
        <w:rPr>
          <w:rFonts w:asciiTheme="minorHAnsi" w:hAnsiTheme="minorHAnsi" w:cstheme="minorHAnsi"/>
          <w:sz w:val="22"/>
          <w:szCs w:val="22"/>
          <w:lang w:val="hr-HR"/>
        </w:rPr>
      </w:pPr>
      <w:r w:rsidRPr="00B128F2">
        <w:rPr>
          <w:rFonts w:asciiTheme="minorHAnsi" w:hAnsiTheme="minorHAnsi" w:cstheme="minorHAnsi"/>
          <w:sz w:val="22"/>
          <w:szCs w:val="22"/>
          <w:lang w:val="hr-HR"/>
        </w:rPr>
        <w:t>Korištenje i namjena površina</w:t>
      </w:r>
    </w:p>
    <w:p w14:paraId="04F30A78" w14:textId="77777777" w:rsidR="00B128F2" w:rsidRPr="00B128F2" w:rsidRDefault="00B128F2" w:rsidP="00B128F2">
      <w:pPr>
        <w:pStyle w:val="toa"/>
        <w:tabs>
          <w:tab w:val="clear" w:pos="9000"/>
          <w:tab w:val="clear" w:pos="9360"/>
          <w:tab w:val="left" w:pos="1000"/>
        </w:tabs>
        <w:suppressAutoHyphens w:val="0"/>
        <w:spacing w:after="0" w:line="276" w:lineRule="auto"/>
        <w:ind w:leftChars="200" w:left="440"/>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2a. </w:t>
      </w:r>
      <w:r w:rsidRPr="00B128F2">
        <w:rPr>
          <w:rFonts w:asciiTheme="minorHAnsi" w:hAnsiTheme="minorHAnsi" w:cstheme="minorHAnsi"/>
          <w:sz w:val="22"/>
          <w:szCs w:val="22"/>
          <w:lang w:val="hr-HR"/>
        </w:rPr>
        <w:tab/>
        <w:t>Prometna, ulična i komunalna infrastrukturna mreža - Prometni sustav</w:t>
      </w:r>
    </w:p>
    <w:p w14:paraId="7AE54EAB" w14:textId="77777777" w:rsidR="00B128F2" w:rsidRPr="00B128F2" w:rsidRDefault="00B128F2" w:rsidP="00B128F2">
      <w:pPr>
        <w:pStyle w:val="toa"/>
        <w:tabs>
          <w:tab w:val="clear" w:pos="9000"/>
          <w:tab w:val="clear" w:pos="9360"/>
          <w:tab w:val="left" w:pos="1000"/>
        </w:tabs>
        <w:suppressAutoHyphens w:val="0"/>
        <w:spacing w:after="0" w:line="276" w:lineRule="auto"/>
        <w:ind w:leftChars="199" w:left="951" w:hanging="513"/>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2b. </w:t>
      </w:r>
      <w:r w:rsidRPr="00B128F2">
        <w:rPr>
          <w:rFonts w:asciiTheme="minorHAnsi" w:hAnsiTheme="minorHAnsi" w:cstheme="minorHAnsi"/>
          <w:sz w:val="22"/>
          <w:szCs w:val="22"/>
          <w:lang w:val="hr-HR"/>
        </w:rPr>
        <w:tab/>
        <w:t>Prometna, ulična i komunalna infrastrukturna mreža - Pošta, eki i energetski sustav</w:t>
      </w:r>
    </w:p>
    <w:p w14:paraId="4A07F559" w14:textId="77777777" w:rsidR="00B128F2" w:rsidRPr="00B128F2" w:rsidRDefault="00B128F2" w:rsidP="00B128F2">
      <w:pPr>
        <w:pStyle w:val="toa"/>
        <w:tabs>
          <w:tab w:val="clear" w:pos="9000"/>
          <w:tab w:val="clear" w:pos="9360"/>
          <w:tab w:val="left" w:pos="1000"/>
        </w:tabs>
        <w:suppressAutoHyphens w:val="0"/>
        <w:spacing w:after="0" w:line="276" w:lineRule="auto"/>
        <w:ind w:leftChars="199" w:left="951" w:hanging="513"/>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2c. </w:t>
      </w:r>
      <w:r w:rsidRPr="00B128F2">
        <w:rPr>
          <w:rFonts w:asciiTheme="minorHAnsi" w:hAnsiTheme="minorHAnsi" w:cstheme="minorHAnsi"/>
          <w:sz w:val="22"/>
          <w:szCs w:val="22"/>
          <w:lang w:val="hr-HR"/>
        </w:rPr>
        <w:tab/>
        <w:t>Prometna, ulična i komunalna infrastrukturna mreža - Vodnogospodarski sustav</w:t>
      </w:r>
    </w:p>
    <w:p w14:paraId="2E5C41A8" w14:textId="77777777" w:rsidR="00B128F2" w:rsidRPr="00B128F2" w:rsidRDefault="00B128F2" w:rsidP="00B128F2">
      <w:pPr>
        <w:pStyle w:val="toa"/>
        <w:tabs>
          <w:tab w:val="clear" w:pos="9000"/>
          <w:tab w:val="clear" w:pos="9360"/>
          <w:tab w:val="left" w:pos="1000"/>
        </w:tabs>
        <w:suppressAutoHyphens w:val="0"/>
        <w:spacing w:after="0" w:line="276" w:lineRule="auto"/>
        <w:ind w:leftChars="199" w:left="951" w:hanging="513"/>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3a. </w:t>
      </w:r>
      <w:r w:rsidRPr="00B128F2">
        <w:rPr>
          <w:rFonts w:asciiTheme="minorHAnsi" w:hAnsiTheme="minorHAnsi" w:cstheme="minorHAnsi"/>
          <w:sz w:val="22"/>
          <w:szCs w:val="22"/>
          <w:lang w:val="hr-HR"/>
        </w:rPr>
        <w:tab/>
        <w:t>Uvjeti korištenja, uređenja i zaštite površina - Područja posebnih uvjeta korištenja</w:t>
      </w:r>
    </w:p>
    <w:p w14:paraId="244F9A35" w14:textId="77777777" w:rsidR="00B128F2" w:rsidRPr="00B128F2" w:rsidRDefault="00B128F2" w:rsidP="00B128F2">
      <w:pPr>
        <w:pStyle w:val="toa"/>
        <w:tabs>
          <w:tab w:val="clear" w:pos="9000"/>
          <w:tab w:val="clear" w:pos="9360"/>
          <w:tab w:val="left" w:pos="1000"/>
        </w:tabs>
        <w:suppressAutoHyphens w:val="0"/>
        <w:spacing w:after="0" w:line="276" w:lineRule="auto"/>
        <w:ind w:leftChars="200" w:left="440"/>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3b. </w:t>
      </w:r>
      <w:r w:rsidRPr="00B128F2">
        <w:rPr>
          <w:rFonts w:asciiTheme="minorHAnsi" w:hAnsiTheme="minorHAnsi" w:cstheme="minorHAnsi"/>
          <w:sz w:val="22"/>
          <w:szCs w:val="22"/>
          <w:lang w:val="hr-HR"/>
        </w:rPr>
        <w:tab/>
        <w:t>Uvjeti korištenja, uređenja i zaštite površina - Oblici korištenja</w:t>
      </w:r>
    </w:p>
    <w:p w14:paraId="1CDBA45E" w14:textId="77777777" w:rsidR="00B128F2" w:rsidRPr="00B128F2" w:rsidRDefault="00B128F2" w:rsidP="00B128F2">
      <w:pPr>
        <w:pStyle w:val="toa"/>
        <w:numPr>
          <w:ilvl w:val="0"/>
          <w:numId w:val="4"/>
        </w:numPr>
        <w:tabs>
          <w:tab w:val="clear" w:pos="9000"/>
          <w:tab w:val="clear" w:pos="9360"/>
          <w:tab w:val="left" w:pos="1000"/>
        </w:tabs>
        <w:suppressAutoHyphens w:val="0"/>
        <w:spacing w:after="0" w:line="276" w:lineRule="auto"/>
        <w:ind w:leftChars="200" w:left="440"/>
        <w:rPr>
          <w:rFonts w:asciiTheme="minorHAnsi" w:hAnsiTheme="minorHAnsi" w:cstheme="minorHAnsi"/>
          <w:sz w:val="22"/>
          <w:szCs w:val="22"/>
          <w:lang w:val="hr-HR"/>
        </w:rPr>
      </w:pPr>
      <w:r w:rsidRPr="00B128F2">
        <w:rPr>
          <w:rFonts w:asciiTheme="minorHAnsi" w:hAnsiTheme="minorHAnsi" w:cstheme="minorHAnsi"/>
          <w:sz w:val="22"/>
          <w:szCs w:val="22"/>
          <w:lang w:val="hr-HR"/>
        </w:rPr>
        <w:t xml:space="preserve"> </w:t>
      </w:r>
      <w:r w:rsidRPr="00B128F2">
        <w:rPr>
          <w:rFonts w:asciiTheme="minorHAnsi" w:hAnsiTheme="minorHAnsi" w:cstheme="minorHAnsi"/>
          <w:sz w:val="22"/>
          <w:szCs w:val="22"/>
          <w:lang w:val="hr-HR"/>
        </w:rPr>
        <w:tab/>
        <w:t>Način i uvjeti gradnje</w:t>
      </w:r>
    </w:p>
    <w:p w14:paraId="313D7E12" w14:textId="77777777" w:rsidR="00B128F2" w:rsidRPr="00B128F2" w:rsidRDefault="00B128F2" w:rsidP="00B128F2">
      <w:pPr>
        <w:spacing w:line="276" w:lineRule="auto"/>
        <w:rPr>
          <w:rFonts w:cstheme="minorHAnsi"/>
          <w:b/>
          <w:caps/>
          <w:lang w:val="it-IT"/>
        </w:rPr>
      </w:pPr>
    </w:p>
    <w:p w14:paraId="1F1A3CCD" w14:textId="77777777" w:rsidR="00B128F2" w:rsidRPr="00B128F2" w:rsidRDefault="00B128F2" w:rsidP="00B128F2">
      <w:pPr>
        <w:spacing w:line="276" w:lineRule="auto"/>
        <w:rPr>
          <w:rFonts w:cstheme="minorHAnsi"/>
          <w:b/>
          <w:caps/>
          <w:lang w:val="it-IT"/>
        </w:rPr>
      </w:pPr>
      <w:r w:rsidRPr="00B128F2">
        <w:rPr>
          <w:rFonts w:cstheme="minorHAnsi"/>
          <w:b/>
          <w:caps/>
          <w:lang w:val="it-IT"/>
        </w:rPr>
        <w:t xml:space="preserve">III </w:t>
      </w:r>
      <w:r w:rsidRPr="00B128F2">
        <w:rPr>
          <w:rFonts w:cstheme="minorHAnsi"/>
          <w:b/>
          <w:caps/>
        </w:rPr>
        <w:t xml:space="preserve">– OBVEZNI </w:t>
      </w:r>
      <w:r w:rsidRPr="00B128F2">
        <w:rPr>
          <w:rFonts w:cstheme="minorHAnsi"/>
          <w:b/>
          <w:caps/>
          <w:lang w:val="it-IT"/>
        </w:rPr>
        <w:t>prilozi:</w:t>
      </w:r>
    </w:p>
    <w:p w14:paraId="4C9B4A28" w14:textId="77777777" w:rsidR="00B128F2" w:rsidRPr="00B128F2" w:rsidRDefault="00B128F2" w:rsidP="00B128F2">
      <w:pPr>
        <w:tabs>
          <w:tab w:val="left" w:pos="720"/>
        </w:tabs>
        <w:spacing w:line="276" w:lineRule="auto"/>
        <w:ind w:leftChars="57" w:left="125" w:firstLineChars="242" w:firstLine="532"/>
        <w:rPr>
          <w:rFonts w:cstheme="minorHAnsi"/>
          <w:bCs/>
          <w:caps/>
        </w:rPr>
      </w:pPr>
      <w:r w:rsidRPr="00B128F2">
        <w:rPr>
          <w:rFonts w:cstheme="minorHAnsi"/>
          <w:bCs/>
          <w:caps/>
        </w:rPr>
        <w:t xml:space="preserve">III-1 - </w:t>
      </w:r>
      <w:r w:rsidRPr="00B128F2">
        <w:rPr>
          <w:rFonts w:cstheme="minorHAnsi"/>
          <w:bCs/>
        </w:rPr>
        <w:t xml:space="preserve">Obrazloženje </w:t>
      </w:r>
    </w:p>
    <w:p w14:paraId="7C78B785" w14:textId="77777777" w:rsidR="00B128F2" w:rsidRPr="00B128F2" w:rsidRDefault="00B128F2" w:rsidP="00B128F2">
      <w:pPr>
        <w:tabs>
          <w:tab w:val="left" w:pos="567"/>
        </w:tabs>
        <w:spacing w:line="276" w:lineRule="auto"/>
        <w:ind w:leftChars="57" w:left="125" w:firstLineChars="242" w:firstLine="532"/>
        <w:rPr>
          <w:rFonts w:cstheme="minorHAnsi"/>
          <w:bCs/>
          <w:caps/>
          <w:lang w:val="it-IT"/>
        </w:rPr>
      </w:pPr>
      <w:r w:rsidRPr="00B128F2">
        <w:rPr>
          <w:rFonts w:cstheme="minorHAnsi"/>
          <w:bCs/>
          <w:caps/>
          <w:lang w:val="it-IT"/>
        </w:rPr>
        <w:t xml:space="preserve">iii-2 - </w:t>
      </w:r>
      <w:r w:rsidRPr="00B128F2">
        <w:rPr>
          <w:rFonts w:cstheme="minorHAnsi"/>
          <w:bCs/>
        </w:rPr>
        <w:t>Sažetak za javnost</w:t>
      </w:r>
      <w:r w:rsidRPr="00B128F2">
        <w:rPr>
          <w:rFonts w:cstheme="minorHAnsi"/>
          <w:bCs/>
          <w:lang w:val="it-IT"/>
        </w:rPr>
        <w:t xml:space="preserve"> </w:t>
      </w:r>
    </w:p>
    <w:p w14:paraId="3E256519" w14:textId="77777777" w:rsidR="00B128F2" w:rsidRPr="00B128F2" w:rsidRDefault="00B128F2" w:rsidP="00B128F2">
      <w:pPr>
        <w:tabs>
          <w:tab w:val="left" w:pos="567"/>
        </w:tabs>
        <w:spacing w:line="276" w:lineRule="auto"/>
        <w:ind w:leftChars="57" w:left="125" w:firstLineChars="242" w:firstLine="532"/>
        <w:rPr>
          <w:rFonts w:cstheme="minorHAnsi"/>
          <w:bCs/>
          <w:caps/>
          <w:lang w:val="it-IT"/>
        </w:rPr>
      </w:pPr>
      <w:r w:rsidRPr="00B128F2">
        <w:rPr>
          <w:rFonts w:cstheme="minorHAnsi"/>
          <w:bCs/>
          <w:caps/>
          <w:lang w:val="it-IT"/>
        </w:rPr>
        <w:t>III-3 - I</w:t>
      </w:r>
      <w:r w:rsidRPr="00B128F2">
        <w:rPr>
          <w:rFonts w:cstheme="minorHAnsi"/>
          <w:bCs/>
          <w:lang w:val="it-IT"/>
        </w:rPr>
        <w:t>zvješće o javnoj raspravi</w:t>
      </w:r>
    </w:p>
    <w:p w14:paraId="3BA44C9E" w14:textId="77777777" w:rsidR="00B128F2" w:rsidRPr="00B128F2" w:rsidRDefault="00B128F2" w:rsidP="00B128F2">
      <w:pPr>
        <w:tabs>
          <w:tab w:val="left" w:pos="567"/>
        </w:tabs>
        <w:spacing w:line="276" w:lineRule="auto"/>
        <w:ind w:left="104" w:hangingChars="47" w:hanging="104"/>
        <w:jc w:val="center"/>
        <w:rPr>
          <w:rFonts w:cstheme="minorHAnsi"/>
          <w:b/>
        </w:rPr>
      </w:pPr>
    </w:p>
    <w:p w14:paraId="291C2FC1" w14:textId="77777777" w:rsidR="00B128F2" w:rsidRPr="00B128F2" w:rsidRDefault="00B128F2" w:rsidP="00B128F2">
      <w:pPr>
        <w:tabs>
          <w:tab w:val="left" w:pos="567"/>
        </w:tabs>
        <w:spacing w:line="276" w:lineRule="auto"/>
        <w:ind w:left="104" w:hangingChars="47" w:hanging="104"/>
        <w:jc w:val="center"/>
        <w:rPr>
          <w:rFonts w:cstheme="minorHAnsi"/>
          <w:b/>
          <w:caps/>
          <w:lang w:val="it-IT"/>
        </w:rPr>
      </w:pPr>
      <w:r w:rsidRPr="00B128F2">
        <w:rPr>
          <w:rFonts w:cstheme="minorHAnsi"/>
          <w:b/>
        </w:rPr>
        <w:t>Glava III.</w:t>
      </w:r>
    </w:p>
    <w:p w14:paraId="3960B73C" w14:textId="77777777" w:rsidR="00B128F2" w:rsidRPr="00B128F2" w:rsidRDefault="00B128F2" w:rsidP="00B128F2">
      <w:pPr>
        <w:tabs>
          <w:tab w:val="left" w:pos="-2977"/>
          <w:tab w:val="left" w:pos="851"/>
        </w:tabs>
        <w:spacing w:line="276" w:lineRule="auto"/>
        <w:jc w:val="both"/>
        <w:rPr>
          <w:rFonts w:cstheme="minorHAnsi"/>
        </w:rPr>
      </w:pPr>
      <w:r w:rsidRPr="00B128F2">
        <w:rPr>
          <w:rFonts w:cstheme="minorHAnsi"/>
        </w:rPr>
        <w:t>Izmijenjeni dijelovi iz Glave II. ove Odluke postaju sastavni dio Plana, odnosno zamjenjuju odgovarajuće dijelove Urbanističkog plana uređenja građevinskog područja stambene zone Grada Čazme (“Službeni vjesnik” Grada Čazme br. 10/09 i 48/19).</w:t>
      </w:r>
    </w:p>
    <w:p w14:paraId="4E625482" w14:textId="77777777" w:rsidR="00B128F2" w:rsidRPr="00B128F2" w:rsidRDefault="00B128F2" w:rsidP="00B128F2">
      <w:pPr>
        <w:spacing w:line="276" w:lineRule="auto"/>
        <w:jc w:val="both"/>
        <w:rPr>
          <w:rFonts w:cstheme="minorHAnsi"/>
        </w:rPr>
      </w:pPr>
    </w:p>
    <w:p w14:paraId="2D50E5A8" w14:textId="77777777" w:rsidR="00B128F2" w:rsidRPr="00B128F2" w:rsidRDefault="00B128F2" w:rsidP="00B128F2">
      <w:pPr>
        <w:spacing w:line="276" w:lineRule="auto"/>
        <w:jc w:val="both"/>
        <w:rPr>
          <w:rFonts w:cstheme="minorHAnsi"/>
          <w:b/>
          <w:bCs/>
        </w:rPr>
      </w:pPr>
      <w:r w:rsidRPr="00B128F2">
        <w:rPr>
          <w:rFonts w:cstheme="minorHAnsi"/>
          <w:b/>
        </w:rPr>
        <w:t xml:space="preserve">II. ODREDBE ZA </w:t>
      </w:r>
      <w:r w:rsidRPr="00B128F2">
        <w:rPr>
          <w:rFonts w:cstheme="minorHAnsi"/>
          <w:b/>
          <w:bCs/>
        </w:rPr>
        <w:t>PROVOĐENJE</w:t>
      </w:r>
    </w:p>
    <w:p w14:paraId="13871D20" w14:textId="77777777" w:rsidR="00B128F2" w:rsidRPr="00B128F2" w:rsidRDefault="00B128F2" w:rsidP="00B128F2">
      <w:pPr>
        <w:spacing w:line="276" w:lineRule="auto"/>
        <w:jc w:val="center"/>
        <w:rPr>
          <w:rFonts w:cstheme="minorHAnsi"/>
          <w:b/>
          <w:spacing w:val="6"/>
        </w:rPr>
      </w:pPr>
      <w:r w:rsidRPr="00B128F2">
        <w:rPr>
          <w:rFonts w:cstheme="minorHAnsi"/>
          <w:b/>
          <w:spacing w:val="6"/>
        </w:rPr>
        <w:t>Članak 1.</w:t>
      </w:r>
    </w:p>
    <w:p w14:paraId="417505DA" w14:textId="77777777" w:rsidR="00B128F2" w:rsidRPr="00B128F2" w:rsidRDefault="00B128F2" w:rsidP="00B128F2">
      <w:pPr>
        <w:spacing w:line="276" w:lineRule="auto"/>
        <w:ind w:firstLine="720"/>
        <w:jc w:val="both"/>
        <w:rPr>
          <w:rFonts w:cstheme="minorHAnsi"/>
        </w:rPr>
      </w:pPr>
      <w:r w:rsidRPr="00B128F2">
        <w:rPr>
          <w:rFonts w:cstheme="minorHAnsi"/>
        </w:rPr>
        <w:t xml:space="preserve">Članak 47. mijenja se i glasi: </w:t>
      </w:r>
    </w:p>
    <w:p w14:paraId="416E62FF" w14:textId="77777777" w:rsidR="00B128F2" w:rsidRPr="00B128F2" w:rsidRDefault="00B128F2" w:rsidP="00B128F2">
      <w:pPr>
        <w:spacing w:line="276" w:lineRule="auto"/>
        <w:ind w:firstLine="720"/>
        <w:jc w:val="both"/>
        <w:rPr>
          <w:rFonts w:cstheme="minorHAnsi"/>
        </w:rPr>
      </w:pPr>
      <w:r w:rsidRPr="00B128F2">
        <w:rPr>
          <w:rFonts w:cstheme="minorHAnsi"/>
        </w:rPr>
        <w:t>„Građevine javne i društvene namjene mogu se graditi kao samostojeće, poluugrađene ili ugrađene građevine.</w:t>
      </w:r>
    </w:p>
    <w:p w14:paraId="42D8B291" w14:textId="77777777" w:rsidR="00B128F2" w:rsidRPr="00B128F2" w:rsidRDefault="00B128F2" w:rsidP="00B128F2">
      <w:pPr>
        <w:spacing w:line="276" w:lineRule="auto"/>
        <w:ind w:firstLine="720"/>
        <w:jc w:val="both"/>
        <w:rPr>
          <w:rFonts w:cstheme="minorHAnsi"/>
        </w:rPr>
      </w:pPr>
      <w:r w:rsidRPr="00B128F2">
        <w:rPr>
          <w:rFonts w:cstheme="minorHAnsi"/>
        </w:rPr>
        <w:lastRenderedPageBreak/>
        <w:t>Najveća izgrađenost građevne čestice na kojoj će se graditi građevina javne i društvene namjene, ovisno o načinu gradnje, iznosi:</w:t>
      </w:r>
    </w:p>
    <w:p w14:paraId="0E474E07" w14:textId="77777777" w:rsidR="00B128F2" w:rsidRPr="00B128F2" w:rsidRDefault="00B128F2" w:rsidP="00B128F2">
      <w:pPr>
        <w:spacing w:line="276" w:lineRule="auto"/>
        <w:ind w:firstLine="720"/>
        <w:jc w:val="both"/>
        <w:rPr>
          <w:rFonts w:cstheme="minorHAnsi"/>
        </w:rPr>
      </w:pPr>
      <w:r w:rsidRPr="00B128F2">
        <w:rPr>
          <w:rFonts w:cstheme="minorHAnsi"/>
        </w:rPr>
        <w:t>-za gradnju građevina na samostojeći i poluugrađeni način - najviše 45%</w:t>
      </w:r>
    </w:p>
    <w:p w14:paraId="608924DA" w14:textId="77777777" w:rsidR="00B128F2" w:rsidRPr="00B128F2" w:rsidRDefault="00B128F2" w:rsidP="00B128F2">
      <w:pPr>
        <w:spacing w:line="276" w:lineRule="auto"/>
        <w:ind w:firstLine="720"/>
        <w:jc w:val="both"/>
        <w:rPr>
          <w:rFonts w:cstheme="minorHAnsi"/>
        </w:rPr>
      </w:pPr>
      <w:r w:rsidRPr="00B128F2">
        <w:rPr>
          <w:rFonts w:cstheme="minorHAnsi"/>
        </w:rPr>
        <w:t>-za gradnju građevina u nizu - najviše 50%</w:t>
      </w:r>
    </w:p>
    <w:p w14:paraId="0857B5E3" w14:textId="77777777" w:rsidR="00B128F2" w:rsidRPr="00B128F2" w:rsidRDefault="00B128F2" w:rsidP="00B128F2">
      <w:pPr>
        <w:spacing w:line="276" w:lineRule="auto"/>
        <w:jc w:val="both"/>
        <w:rPr>
          <w:rFonts w:cstheme="minorHAnsi"/>
        </w:rPr>
      </w:pPr>
      <w:r w:rsidRPr="00B128F2">
        <w:rPr>
          <w:rFonts w:cstheme="minorHAnsi"/>
        </w:rPr>
        <w:t>Iznimno, najveća izgrađenost građevne čestice iznosi:</w:t>
      </w:r>
    </w:p>
    <w:p w14:paraId="27E96E27" w14:textId="77777777" w:rsidR="00B128F2" w:rsidRPr="00B128F2" w:rsidRDefault="00B128F2" w:rsidP="00B128F2">
      <w:pPr>
        <w:spacing w:line="276" w:lineRule="auto"/>
        <w:ind w:firstLine="720"/>
        <w:jc w:val="both"/>
        <w:rPr>
          <w:rFonts w:cstheme="minorHAnsi"/>
        </w:rPr>
      </w:pPr>
      <w:r w:rsidRPr="00B128F2">
        <w:rPr>
          <w:rFonts w:cstheme="minorHAnsi"/>
        </w:rPr>
        <w:t>-za škole i predškolske ustanove (bez obzira na način gradnje) - najviše 30%.</w:t>
      </w:r>
    </w:p>
    <w:p w14:paraId="413399D9" w14:textId="77777777" w:rsidR="00B128F2" w:rsidRPr="00B128F2" w:rsidRDefault="00B128F2" w:rsidP="00B128F2">
      <w:pPr>
        <w:spacing w:line="276" w:lineRule="auto"/>
        <w:ind w:firstLine="720"/>
        <w:jc w:val="both"/>
        <w:rPr>
          <w:rFonts w:cstheme="minorHAnsi"/>
        </w:rPr>
      </w:pPr>
      <w:r w:rsidRPr="00B128F2">
        <w:rPr>
          <w:rFonts w:cstheme="minorHAnsi"/>
        </w:rPr>
        <w:t>Najveći koeficijent iskorištenosti (K</w:t>
      </w:r>
      <w:r w:rsidRPr="00B128F2">
        <w:rPr>
          <w:rFonts w:cstheme="minorHAnsi"/>
          <w:vertAlign w:val="subscript"/>
        </w:rPr>
        <w:t>is</w:t>
      </w:r>
      <w:r w:rsidRPr="00B128F2">
        <w:rPr>
          <w:rFonts w:cstheme="minorHAnsi"/>
        </w:rPr>
        <w:t>) za građevine javne i društvene namjene iznosi 1,5.</w:t>
      </w:r>
    </w:p>
    <w:p w14:paraId="73A1DED7" w14:textId="77777777" w:rsidR="00B128F2" w:rsidRPr="00B128F2" w:rsidRDefault="00B128F2" w:rsidP="00B128F2">
      <w:pPr>
        <w:spacing w:line="276" w:lineRule="auto"/>
        <w:ind w:firstLine="720"/>
        <w:jc w:val="both"/>
        <w:rPr>
          <w:rFonts w:cstheme="minorHAnsi"/>
        </w:rPr>
      </w:pPr>
      <w:r w:rsidRPr="00B128F2">
        <w:rPr>
          <w:rFonts w:cstheme="minorHAnsi"/>
        </w:rPr>
        <w:t>Udaljenost građevina javne i društvene namjene od susjednih međa na koju nisu prislonjene mora iznositi najmanje pola njihove visine (h/2), ali ne smije biti manja od 3,0 m.</w:t>
      </w:r>
    </w:p>
    <w:p w14:paraId="23EEC31C" w14:textId="77777777" w:rsidR="00B128F2" w:rsidRPr="00B128F2" w:rsidRDefault="00B128F2" w:rsidP="00B128F2">
      <w:pPr>
        <w:spacing w:line="276" w:lineRule="auto"/>
        <w:ind w:firstLine="720"/>
        <w:jc w:val="both"/>
        <w:rPr>
          <w:rFonts w:cstheme="minorHAnsi"/>
        </w:rPr>
      </w:pPr>
      <w:r w:rsidRPr="00B128F2">
        <w:rPr>
          <w:rFonts w:cstheme="minorHAnsi"/>
        </w:rPr>
        <w:t>Iznimno, za građevinu javne i društvene namjene - muzej koji je smješten na arheološkom području Ruševine Starog grada, propisuje se udaljenost od susjednih međa koja iznosi najmanje 3,0 m, odnosno nije potrebno zadovoljiti uvjet da udaljenost građevine od susjedne međe mora iznositi najmanje pola njezine visine (h/2).</w:t>
      </w:r>
    </w:p>
    <w:p w14:paraId="19BFDD52" w14:textId="77777777" w:rsidR="00B128F2" w:rsidRPr="00B128F2" w:rsidRDefault="00B128F2" w:rsidP="00B128F2">
      <w:pPr>
        <w:spacing w:line="276" w:lineRule="auto"/>
        <w:ind w:firstLine="720"/>
        <w:jc w:val="both"/>
        <w:rPr>
          <w:rFonts w:cstheme="minorHAnsi"/>
        </w:rPr>
      </w:pPr>
      <w:r w:rsidRPr="00B128F2">
        <w:rPr>
          <w:rFonts w:cstheme="minorHAnsi"/>
        </w:rPr>
        <w:t>Ukoliko postojeće građevine javne i društvene namjene imaju izgrađenost ili koeficijent iskorištenosti veći od vrijednosti određenih ovim člankom, iste se prilikom izvođenja radova na rekonstrukciji mogu zadržati, ali se ne smiju povećavati.“</w:t>
      </w:r>
    </w:p>
    <w:p w14:paraId="709A4596" w14:textId="77777777" w:rsidR="00B128F2" w:rsidRPr="00B128F2" w:rsidRDefault="00B128F2" w:rsidP="00B128F2">
      <w:pPr>
        <w:spacing w:line="276" w:lineRule="auto"/>
        <w:ind w:firstLine="720"/>
        <w:jc w:val="both"/>
        <w:rPr>
          <w:rFonts w:cstheme="minorHAnsi"/>
        </w:rPr>
      </w:pPr>
    </w:p>
    <w:p w14:paraId="696C9189" w14:textId="77777777" w:rsidR="00B128F2" w:rsidRPr="00B128F2" w:rsidRDefault="00B128F2" w:rsidP="00B128F2">
      <w:pPr>
        <w:spacing w:line="276" w:lineRule="auto"/>
        <w:jc w:val="center"/>
        <w:rPr>
          <w:rFonts w:cstheme="minorHAnsi"/>
          <w:b/>
          <w:spacing w:val="6"/>
        </w:rPr>
      </w:pPr>
      <w:r w:rsidRPr="00B128F2">
        <w:rPr>
          <w:rFonts w:cstheme="minorHAnsi"/>
          <w:b/>
          <w:spacing w:val="6"/>
        </w:rPr>
        <w:t>Članak 2.</w:t>
      </w:r>
    </w:p>
    <w:p w14:paraId="05183354" w14:textId="77777777" w:rsidR="00B128F2" w:rsidRPr="00B128F2" w:rsidRDefault="00B128F2" w:rsidP="00B128F2">
      <w:pPr>
        <w:spacing w:line="276" w:lineRule="auto"/>
        <w:ind w:firstLine="720"/>
        <w:jc w:val="both"/>
        <w:rPr>
          <w:rFonts w:cstheme="minorHAnsi"/>
        </w:rPr>
      </w:pPr>
      <w:r w:rsidRPr="00B128F2">
        <w:rPr>
          <w:rFonts w:cstheme="minorHAnsi"/>
        </w:rPr>
        <w:t>U članku 74. u stavku 2. u tablici, iza retka koji započinje riječju: „zdravstvo“ dodaje se novi redak koji glasi:</w:t>
      </w:r>
    </w:p>
    <w:tbl>
      <w:tblPr>
        <w:tblStyle w:val="Reetkatablice"/>
        <w:tblW w:w="0" w:type="auto"/>
        <w:tblLook w:val="04A0" w:firstRow="1" w:lastRow="0" w:firstColumn="1" w:lastColumn="0" w:noHBand="0" w:noVBand="1"/>
      </w:tblPr>
      <w:tblGrid>
        <w:gridCol w:w="4219"/>
        <w:gridCol w:w="4303"/>
      </w:tblGrid>
      <w:tr w:rsidR="00B128F2" w:rsidRPr="00B128F2" w14:paraId="65B4E800" w14:textId="77777777" w:rsidTr="000B6309">
        <w:tc>
          <w:tcPr>
            <w:tcW w:w="4219" w:type="dxa"/>
            <w:vAlign w:val="bottom"/>
          </w:tcPr>
          <w:p w14:paraId="0C75C8FA" w14:textId="77777777" w:rsidR="00B128F2" w:rsidRPr="00B128F2" w:rsidRDefault="00B128F2" w:rsidP="00B128F2">
            <w:pPr>
              <w:spacing w:line="276" w:lineRule="auto"/>
              <w:jc w:val="both"/>
              <w:rPr>
                <w:rFonts w:cstheme="minorHAnsi"/>
              </w:rPr>
            </w:pPr>
            <w:r w:rsidRPr="00B128F2">
              <w:rPr>
                <w:rFonts w:eastAsia="Times New Roman" w:cstheme="minorHAnsi"/>
              </w:rPr>
              <w:t xml:space="preserve">GRAĐEVINE KULTURNE NAMJENE </w:t>
            </w:r>
          </w:p>
        </w:tc>
        <w:tc>
          <w:tcPr>
            <w:tcW w:w="4303" w:type="dxa"/>
            <w:vAlign w:val="bottom"/>
          </w:tcPr>
          <w:p w14:paraId="1DABDFC9" w14:textId="77777777" w:rsidR="00B128F2" w:rsidRPr="00B128F2" w:rsidRDefault="00B128F2" w:rsidP="00B128F2">
            <w:pPr>
              <w:spacing w:line="276" w:lineRule="auto"/>
              <w:jc w:val="center"/>
              <w:rPr>
                <w:rFonts w:cstheme="minorHAnsi"/>
              </w:rPr>
            </w:pPr>
            <w:r w:rsidRPr="00B128F2">
              <w:rPr>
                <w:rFonts w:eastAsia="Times New Roman" w:cstheme="minorHAnsi"/>
              </w:rPr>
              <w:t>1 PGM na 120 m</w:t>
            </w:r>
            <w:r w:rsidRPr="00B128F2">
              <w:rPr>
                <w:rFonts w:eastAsia="Times New Roman" w:cstheme="minorHAnsi"/>
                <w:vertAlign w:val="superscript"/>
              </w:rPr>
              <w:t>2</w:t>
            </w:r>
            <w:r w:rsidRPr="00B128F2">
              <w:rPr>
                <w:rFonts w:eastAsia="Times New Roman" w:cstheme="minorHAnsi"/>
              </w:rPr>
              <w:t xml:space="preserve"> GBP</w:t>
            </w:r>
          </w:p>
        </w:tc>
      </w:tr>
    </w:tbl>
    <w:p w14:paraId="68353ADD" w14:textId="77777777" w:rsidR="00B128F2" w:rsidRPr="00B128F2" w:rsidRDefault="00B128F2" w:rsidP="00B128F2">
      <w:pPr>
        <w:spacing w:line="276" w:lineRule="auto"/>
        <w:ind w:firstLine="420"/>
        <w:jc w:val="both"/>
        <w:rPr>
          <w:rFonts w:cstheme="minorHAnsi"/>
        </w:rPr>
      </w:pPr>
    </w:p>
    <w:p w14:paraId="5D201B95" w14:textId="77777777" w:rsidR="00B128F2" w:rsidRPr="00B128F2" w:rsidRDefault="00B128F2" w:rsidP="00B128F2">
      <w:pPr>
        <w:spacing w:line="276" w:lineRule="auto"/>
        <w:ind w:firstLine="420"/>
        <w:jc w:val="both"/>
        <w:rPr>
          <w:rFonts w:cstheme="minorHAnsi"/>
        </w:rPr>
      </w:pPr>
      <w:r w:rsidRPr="00B128F2">
        <w:rPr>
          <w:rFonts w:cstheme="minorHAnsi"/>
        </w:rPr>
        <w:t>U stavku 5. alineji 1. iza riječi: „zdravstvene,“ stavlja se zarez i dodaje se riječ: „kulturne“.</w:t>
      </w:r>
    </w:p>
    <w:p w14:paraId="33CF012A" w14:textId="77777777" w:rsidR="00B128F2" w:rsidRPr="00B128F2" w:rsidRDefault="00B128F2" w:rsidP="00B128F2">
      <w:pPr>
        <w:spacing w:line="276" w:lineRule="auto"/>
        <w:jc w:val="center"/>
        <w:rPr>
          <w:rFonts w:cstheme="minorHAnsi"/>
          <w:b/>
          <w:spacing w:val="6"/>
        </w:rPr>
      </w:pPr>
      <w:r w:rsidRPr="00B128F2">
        <w:rPr>
          <w:rFonts w:cstheme="minorHAnsi"/>
          <w:b/>
          <w:spacing w:val="6"/>
        </w:rPr>
        <w:t>Članak 3.</w:t>
      </w:r>
    </w:p>
    <w:p w14:paraId="276C8086" w14:textId="77777777" w:rsidR="00B128F2" w:rsidRPr="00B128F2" w:rsidRDefault="00B128F2" w:rsidP="00B128F2">
      <w:pPr>
        <w:spacing w:line="276" w:lineRule="auto"/>
        <w:ind w:firstLine="720"/>
        <w:jc w:val="both"/>
        <w:rPr>
          <w:rFonts w:cstheme="minorHAnsi"/>
        </w:rPr>
      </w:pPr>
      <w:r w:rsidRPr="00B128F2">
        <w:rPr>
          <w:rFonts w:cstheme="minorHAnsi"/>
        </w:rPr>
        <w:t xml:space="preserve">U članku 86. stavku 2. alineji 3. riječi: „kabelskim (podzemnim)“ zamjenjuju se riječju: „izoliranim“. </w:t>
      </w:r>
    </w:p>
    <w:p w14:paraId="088B6D79" w14:textId="77777777" w:rsidR="00B128F2" w:rsidRPr="00B128F2" w:rsidRDefault="00B128F2" w:rsidP="00B128F2">
      <w:pPr>
        <w:spacing w:line="276" w:lineRule="auto"/>
        <w:ind w:firstLine="720"/>
        <w:jc w:val="both"/>
        <w:rPr>
          <w:rFonts w:cstheme="minorHAnsi"/>
        </w:rPr>
      </w:pPr>
      <w:r w:rsidRPr="00B128F2">
        <w:rPr>
          <w:rFonts w:cstheme="minorHAnsi"/>
        </w:rPr>
        <w:t xml:space="preserve">U stavku 5. riječi: „podzemnim kabelima“ zamjenjuju se riječima: „izoliranim vodičima“. </w:t>
      </w:r>
    </w:p>
    <w:p w14:paraId="67F377CC" w14:textId="77777777" w:rsidR="00B128F2" w:rsidRPr="00B128F2" w:rsidRDefault="00B128F2" w:rsidP="00B128F2">
      <w:pPr>
        <w:spacing w:line="276" w:lineRule="auto"/>
        <w:jc w:val="center"/>
        <w:rPr>
          <w:rFonts w:cstheme="minorHAnsi"/>
          <w:b/>
          <w:spacing w:val="6"/>
        </w:rPr>
      </w:pPr>
      <w:r w:rsidRPr="00B128F2">
        <w:rPr>
          <w:rFonts w:cstheme="minorHAnsi"/>
          <w:b/>
          <w:spacing w:val="6"/>
        </w:rPr>
        <w:t>Članak 4.</w:t>
      </w:r>
    </w:p>
    <w:p w14:paraId="0247B9D6" w14:textId="77777777" w:rsidR="00B128F2" w:rsidRPr="00B128F2" w:rsidRDefault="00B128F2" w:rsidP="00B128F2">
      <w:pPr>
        <w:spacing w:line="276" w:lineRule="auto"/>
        <w:ind w:firstLine="720"/>
        <w:jc w:val="both"/>
        <w:rPr>
          <w:rFonts w:cstheme="minorHAnsi"/>
        </w:rPr>
      </w:pPr>
      <w:r w:rsidRPr="00B128F2">
        <w:rPr>
          <w:rFonts w:cstheme="minorHAnsi"/>
        </w:rPr>
        <w:t xml:space="preserve">U članku 99. stavku 1. dodaje se nova alineja 2. koja glasi: </w:t>
      </w:r>
    </w:p>
    <w:p w14:paraId="14B0E95D" w14:textId="77777777" w:rsidR="00B128F2" w:rsidRPr="00B128F2" w:rsidRDefault="00B128F2" w:rsidP="00B128F2">
      <w:pPr>
        <w:spacing w:line="276" w:lineRule="auto"/>
        <w:ind w:firstLine="720"/>
        <w:jc w:val="both"/>
        <w:rPr>
          <w:rFonts w:cstheme="minorHAnsi"/>
        </w:rPr>
      </w:pPr>
      <w:r w:rsidRPr="00B128F2">
        <w:rPr>
          <w:rFonts w:cstheme="minorHAnsi"/>
        </w:rPr>
        <w:t>„- Ruševine Starog grada (broj registra RZG-0534-1969.)“</w:t>
      </w:r>
    </w:p>
    <w:p w14:paraId="61F5451D" w14:textId="77777777" w:rsidR="00B128F2" w:rsidRPr="00B128F2" w:rsidRDefault="00B128F2" w:rsidP="00B128F2">
      <w:pPr>
        <w:spacing w:line="276" w:lineRule="auto"/>
        <w:ind w:firstLine="720"/>
        <w:jc w:val="both"/>
        <w:rPr>
          <w:rFonts w:cstheme="minorHAnsi"/>
        </w:rPr>
      </w:pPr>
      <w:r w:rsidRPr="00B128F2">
        <w:rPr>
          <w:rFonts w:cstheme="minorHAnsi"/>
        </w:rPr>
        <w:t>Dosadašnje alineje 2. i 3. postaju alineje 3. i 4.</w:t>
      </w:r>
    </w:p>
    <w:p w14:paraId="19696073" w14:textId="77777777" w:rsidR="00B128F2" w:rsidRPr="00B128F2" w:rsidRDefault="00B128F2" w:rsidP="00B128F2">
      <w:pPr>
        <w:spacing w:line="276" w:lineRule="auto"/>
        <w:ind w:firstLine="720"/>
        <w:jc w:val="both"/>
        <w:rPr>
          <w:rFonts w:cstheme="minorHAnsi"/>
        </w:rPr>
      </w:pPr>
      <w:r w:rsidRPr="00B128F2">
        <w:rPr>
          <w:rFonts w:cstheme="minorHAnsi"/>
        </w:rPr>
        <w:t>U stavku 2. alineji 1. riječi: „ostaci kaštela Čazmanskog kaptola“ zamjenjuju se riječima: „Ruševine Starog grada“, a tekst: „R 534“ se zamjenjuje tekstom: „RZG-0534-1969.“.</w:t>
      </w:r>
    </w:p>
    <w:p w14:paraId="7AA5D95D" w14:textId="77777777" w:rsidR="00B128F2" w:rsidRPr="00B128F2" w:rsidRDefault="00B128F2" w:rsidP="00B128F2">
      <w:pPr>
        <w:spacing w:line="276" w:lineRule="auto"/>
        <w:ind w:firstLine="720"/>
        <w:jc w:val="both"/>
        <w:rPr>
          <w:rFonts w:cstheme="minorHAnsi"/>
          <w:highlight w:val="yellow"/>
        </w:rPr>
      </w:pPr>
    </w:p>
    <w:p w14:paraId="4790D0D3" w14:textId="77777777" w:rsidR="00B128F2" w:rsidRPr="00B128F2" w:rsidRDefault="00B128F2" w:rsidP="00B128F2">
      <w:pPr>
        <w:spacing w:line="276" w:lineRule="auto"/>
        <w:jc w:val="both"/>
        <w:rPr>
          <w:rFonts w:cstheme="minorHAnsi"/>
          <w:b/>
          <w:spacing w:val="-3"/>
        </w:rPr>
      </w:pPr>
      <w:r w:rsidRPr="00B128F2">
        <w:rPr>
          <w:rFonts w:cstheme="minorHAnsi"/>
          <w:b/>
        </w:rPr>
        <w:t xml:space="preserve">III. PRIJELAZNE I </w:t>
      </w:r>
      <w:r w:rsidRPr="00B128F2">
        <w:rPr>
          <w:rFonts w:cstheme="minorHAnsi"/>
          <w:b/>
          <w:spacing w:val="-3"/>
        </w:rPr>
        <w:t>ZAVRŠNE ODREDBE</w:t>
      </w:r>
    </w:p>
    <w:p w14:paraId="19A81B3A" w14:textId="77777777" w:rsidR="00B128F2" w:rsidRPr="00B128F2" w:rsidRDefault="00B128F2" w:rsidP="00B128F2">
      <w:pPr>
        <w:spacing w:line="276" w:lineRule="auto"/>
        <w:jc w:val="both"/>
        <w:rPr>
          <w:rFonts w:cstheme="minorHAnsi"/>
          <w:b/>
          <w:color w:val="FFC000"/>
          <w:spacing w:val="-3"/>
        </w:rPr>
      </w:pPr>
    </w:p>
    <w:p w14:paraId="61293B1D" w14:textId="77777777" w:rsidR="00B128F2" w:rsidRPr="00B128F2" w:rsidRDefault="00B128F2" w:rsidP="00B128F2">
      <w:pPr>
        <w:spacing w:line="276" w:lineRule="auto"/>
        <w:jc w:val="center"/>
        <w:rPr>
          <w:rFonts w:cstheme="minorHAnsi"/>
          <w:b/>
        </w:rPr>
      </w:pPr>
      <w:r w:rsidRPr="00B128F2">
        <w:rPr>
          <w:rFonts w:cstheme="minorHAnsi"/>
          <w:b/>
        </w:rPr>
        <w:t>Glava IV.</w:t>
      </w:r>
    </w:p>
    <w:p w14:paraId="05CDA679" w14:textId="77777777" w:rsidR="00B128F2" w:rsidRPr="00B128F2" w:rsidRDefault="00B128F2" w:rsidP="00B128F2">
      <w:pPr>
        <w:pStyle w:val="STIL2"/>
        <w:spacing w:line="276" w:lineRule="auto"/>
        <w:rPr>
          <w:rFonts w:asciiTheme="minorHAnsi" w:hAnsiTheme="minorHAnsi" w:cstheme="minorHAnsi"/>
          <w:szCs w:val="22"/>
          <w:lang w:val="hr-HR"/>
        </w:rPr>
      </w:pPr>
      <w:r w:rsidRPr="00B128F2">
        <w:rPr>
          <w:rFonts w:asciiTheme="minorHAnsi" w:hAnsiTheme="minorHAnsi" w:cstheme="minorHAnsi"/>
          <w:szCs w:val="22"/>
          <w:lang w:val="hr-HR"/>
        </w:rPr>
        <w:t>Grafički dijelovi i prilozi II. Izmjena i dopuna Urbanističkog plana uređenja građevinskog područja stambene zone Grada Čazme iz Glave II. ove Odluke, sastavni su dijelovi ovog prostornog plana, ali nisu predmet objave.</w:t>
      </w:r>
    </w:p>
    <w:p w14:paraId="3D7828C1" w14:textId="77777777" w:rsidR="00B128F2" w:rsidRPr="00B128F2" w:rsidRDefault="00B128F2" w:rsidP="00B128F2">
      <w:pPr>
        <w:spacing w:line="276" w:lineRule="auto"/>
        <w:jc w:val="center"/>
        <w:rPr>
          <w:rFonts w:cstheme="minorHAnsi"/>
          <w:b/>
        </w:rPr>
      </w:pPr>
      <w:r w:rsidRPr="00B128F2">
        <w:rPr>
          <w:rFonts w:cstheme="minorHAnsi"/>
          <w:b/>
        </w:rPr>
        <w:t>Glava V.</w:t>
      </w:r>
    </w:p>
    <w:p w14:paraId="45C041D0" w14:textId="77777777" w:rsidR="00B128F2" w:rsidRPr="00B128F2" w:rsidRDefault="00B128F2" w:rsidP="00B128F2">
      <w:pPr>
        <w:pStyle w:val="STIL2"/>
        <w:spacing w:line="276" w:lineRule="auto"/>
        <w:rPr>
          <w:rFonts w:asciiTheme="minorHAnsi" w:hAnsiTheme="minorHAnsi" w:cstheme="minorHAnsi"/>
          <w:szCs w:val="22"/>
          <w:lang w:val="hr-HR"/>
        </w:rPr>
      </w:pPr>
      <w:r w:rsidRPr="00B128F2">
        <w:rPr>
          <w:rFonts w:asciiTheme="minorHAnsi" w:hAnsiTheme="minorHAnsi" w:cstheme="minorHAnsi"/>
          <w:szCs w:val="22"/>
          <w:lang w:val="hr-HR"/>
        </w:rPr>
        <w:t>Na temelju članka 113. stavka 3. Zakona o prostornom uređenju (“Narodne novine” broj 153/13, 65/17,114/18, 39/19, 98/19 i 67/23) nakon donošenja II. Izmjena i dopuna Urbanističkog plana uređenja građevinskog područja stambene zone Grada Čazme potrebno je utvrditi pročišćeni tekst Odredbi za provođenje te pročišćeni grafički dio plana.</w:t>
      </w:r>
    </w:p>
    <w:p w14:paraId="7BA9B043" w14:textId="77777777" w:rsidR="00B128F2" w:rsidRDefault="00B128F2" w:rsidP="00B128F2">
      <w:pPr>
        <w:pStyle w:val="STIL2"/>
        <w:spacing w:line="276" w:lineRule="auto"/>
        <w:rPr>
          <w:rFonts w:asciiTheme="minorHAnsi" w:hAnsiTheme="minorHAnsi" w:cstheme="minorHAnsi"/>
          <w:szCs w:val="22"/>
          <w:lang w:val="hr-HR"/>
        </w:rPr>
      </w:pPr>
    </w:p>
    <w:p w14:paraId="37DBE32A" w14:textId="77777777" w:rsidR="00B128F2" w:rsidRPr="00B128F2" w:rsidRDefault="00B128F2" w:rsidP="00B128F2">
      <w:pPr>
        <w:pStyle w:val="STIL2"/>
        <w:spacing w:line="276" w:lineRule="auto"/>
        <w:rPr>
          <w:rFonts w:asciiTheme="minorHAnsi" w:hAnsiTheme="minorHAnsi" w:cstheme="minorHAnsi"/>
          <w:szCs w:val="22"/>
          <w:lang w:val="hr-HR"/>
        </w:rPr>
      </w:pPr>
    </w:p>
    <w:p w14:paraId="09A6A099" w14:textId="77777777" w:rsidR="00B128F2" w:rsidRPr="00B128F2" w:rsidRDefault="00B128F2" w:rsidP="00B128F2">
      <w:pPr>
        <w:pStyle w:val="STIL2"/>
        <w:spacing w:line="276" w:lineRule="auto"/>
        <w:jc w:val="center"/>
        <w:rPr>
          <w:rFonts w:asciiTheme="minorHAnsi" w:hAnsiTheme="minorHAnsi" w:cstheme="minorHAnsi"/>
          <w:szCs w:val="22"/>
          <w:lang w:val="hr-HR"/>
        </w:rPr>
      </w:pPr>
      <w:r w:rsidRPr="00B128F2">
        <w:rPr>
          <w:rFonts w:asciiTheme="minorHAnsi" w:hAnsiTheme="minorHAnsi" w:cstheme="minorHAnsi"/>
          <w:b/>
          <w:szCs w:val="22"/>
          <w:lang w:val="hr-HR"/>
        </w:rPr>
        <w:lastRenderedPageBreak/>
        <w:t>Glava VI.</w:t>
      </w:r>
    </w:p>
    <w:p w14:paraId="586BB4FE" w14:textId="77777777" w:rsidR="00B128F2" w:rsidRPr="00B128F2" w:rsidRDefault="00B128F2" w:rsidP="00B128F2">
      <w:pPr>
        <w:spacing w:line="276" w:lineRule="auto"/>
        <w:jc w:val="both"/>
        <w:rPr>
          <w:rFonts w:cstheme="minorHAnsi"/>
        </w:rPr>
      </w:pPr>
      <w:r w:rsidRPr="00B128F2">
        <w:rPr>
          <w:rFonts w:cstheme="minorHAnsi"/>
        </w:rPr>
        <w:t>II. Izmjene i dopune Urbanističkog plana uređenja građevinskog područja stambene zone Grada Čazme izrađene su u šest (6) izvornika ovjerenih pečatom Gradskog vijeća Grada Čazme i potpisom predsjednika Gradskog vijeća Grada.</w:t>
      </w:r>
    </w:p>
    <w:p w14:paraId="370B62F2" w14:textId="77777777" w:rsidR="00B128F2" w:rsidRDefault="00B128F2" w:rsidP="00B128F2">
      <w:pPr>
        <w:pStyle w:val="Normal2"/>
        <w:spacing w:line="276" w:lineRule="auto"/>
        <w:jc w:val="center"/>
        <w:rPr>
          <w:rFonts w:asciiTheme="minorHAnsi" w:hAnsiTheme="minorHAnsi" w:cstheme="minorHAnsi"/>
          <w:b/>
          <w:bCs/>
          <w:sz w:val="22"/>
          <w:szCs w:val="22"/>
          <w:lang w:val="hr-HR"/>
        </w:rPr>
      </w:pPr>
    </w:p>
    <w:p w14:paraId="4ADF9C41" w14:textId="77777777" w:rsidR="00B128F2" w:rsidRPr="00B128F2" w:rsidRDefault="00B128F2" w:rsidP="00B128F2">
      <w:pPr>
        <w:pStyle w:val="Normal2"/>
        <w:spacing w:line="276" w:lineRule="auto"/>
        <w:jc w:val="center"/>
        <w:rPr>
          <w:rFonts w:asciiTheme="minorHAnsi" w:hAnsiTheme="minorHAnsi" w:cstheme="minorHAnsi"/>
          <w:b/>
          <w:bCs/>
          <w:sz w:val="22"/>
          <w:szCs w:val="22"/>
          <w:lang w:val="hr-HR"/>
        </w:rPr>
      </w:pPr>
      <w:r w:rsidRPr="00B128F2">
        <w:rPr>
          <w:rFonts w:asciiTheme="minorHAnsi" w:hAnsiTheme="minorHAnsi" w:cstheme="minorHAnsi"/>
          <w:b/>
          <w:bCs/>
          <w:sz w:val="22"/>
          <w:szCs w:val="22"/>
          <w:lang w:val="hr-HR"/>
        </w:rPr>
        <w:t>Glava VII.</w:t>
      </w:r>
    </w:p>
    <w:p w14:paraId="7F7A483F" w14:textId="77777777" w:rsidR="00B128F2" w:rsidRPr="00B128F2" w:rsidRDefault="00B128F2" w:rsidP="00B128F2">
      <w:pPr>
        <w:spacing w:line="276" w:lineRule="auto"/>
        <w:jc w:val="both"/>
        <w:rPr>
          <w:rFonts w:cstheme="minorHAnsi"/>
        </w:rPr>
      </w:pPr>
      <w:r w:rsidRPr="00B128F2">
        <w:rPr>
          <w:rFonts w:cstheme="minorHAnsi"/>
        </w:rPr>
        <w:t>Ova Odluka stupa na snagu osmoga dana od dana objave u „Službenom vjesniku” Grada Čazme.</w:t>
      </w:r>
    </w:p>
    <w:p w14:paraId="1132828A" w14:textId="77777777" w:rsidR="00B128F2" w:rsidRPr="00B128F2" w:rsidRDefault="00B128F2" w:rsidP="00B128F2">
      <w:pPr>
        <w:pStyle w:val="Normal2"/>
        <w:spacing w:line="276" w:lineRule="auto"/>
        <w:jc w:val="left"/>
        <w:rPr>
          <w:rFonts w:asciiTheme="minorHAnsi" w:hAnsiTheme="minorHAnsi" w:cstheme="minorHAnsi"/>
          <w:bCs/>
          <w:color w:val="FFC000"/>
          <w:sz w:val="22"/>
          <w:szCs w:val="22"/>
          <w:lang w:val="hr-HR"/>
        </w:rPr>
      </w:pPr>
    </w:p>
    <w:p w14:paraId="59C6A01A" w14:textId="77777777" w:rsidR="00B128F2" w:rsidRPr="00B128F2" w:rsidRDefault="00B128F2" w:rsidP="00B128F2">
      <w:pPr>
        <w:spacing w:line="276" w:lineRule="auto"/>
        <w:rPr>
          <w:rFonts w:cstheme="minorHAnsi"/>
        </w:rPr>
      </w:pPr>
      <w:r w:rsidRPr="00B128F2">
        <w:rPr>
          <w:rFonts w:cstheme="minorHAnsi"/>
        </w:rPr>
        <w:t>KLASA: 350-06/21-01/01</w:t>
      </w:r>
    </w:p>
    <w:p w14:paraId="33F8F996" w14:textId="77777777" w:rsidR="00B128F2" w:rsidRPr="00B128F2" w:rsidRDefault="00B128F2" w:rsidP="00B128F2">
      <w:pPr>
        <w:spacing w:line="276" w:lineRule="auto"/>
        <w:rPr>
          <w:rFonts w:cstheme="minorHAnsi"/>
        </w:rPr>
      </w:pPr>
      <w:r w:rsidRPr="00B128F2">
        <w:rPr>
          <w:rFonts w:cstheme="minorHAnsi"/>
        </w:rPr>
        <w:t>URBROJ: 2103-2-01/01-24-36</w:t>
      </w:r>
    </w:p>
    <w:p w14:paraId="718BB7CC" w14:textId="77777777" w:rsidR="00B128F2" w:rsidRPr="00B128F2" w:rsidRDefault="00B128F2" w:rsidP="00B128F2">
      <w:pPr>
        <w:spacing w:line="276" w:lineRule="auto"/>
        <w:rPr>
          <w:rFonts w:cstheme="minorHAnsi"/>
        </w:rPr>
      </w:pPr>
      <w:r w:rsidRPr="00B128F2">
        <w:rPr>
          <w:rFonts w:cstheme="minorHAnsi"/>
        </w:rPr>
        <w:t>Čazma, 19. siječnja 2024.g.</w:t>
      </w:r>
    </w:p>
    <w:p w14:paraId="1816F1D1" w14:textId="77777777" w:rsidR="00B128F2" w:rsidRPr="00B128F2" w:rsidRDefault="00B128F2" w:rsidP="00B128F2">
      <w:pPr>
        <w:spacing w:line="276" w:lineRule="auto"/>
        <w:rPr>
          <w:rFonts w:cstheme="minorHAnsi"/>
        </w:rPr>
      </w:pPr>
    </w:p>
    <w:p w14:paraId="43479732" w14:textId="77777777" w:rsidR="00B128F2" w:rsidRPr="00B128F2" w:rsidRDefault="00B128F2" w:rsidP="00B128F2">
      <w:pPr>
        <w:spacing w:line="276" w:lineRule="auto"/>
        <w:ind w:left="4321"/>
        <w:jc w:val="center"/>
        <w:rPr>
          <w:rFonts w:cstheme="minorHAnsi"/>
        </w:rPr>
      </w:pPr>
      <w:r w:rsidRPr="00B128F2">
        <w:rPr>
          <w:rFonts w:cstheme="minorHAnsi"/>
        </w:rPr>
        <w:t>PREDSJEDNIK</w:t>
      </w:r>
    </w:p>
    <w:p w14:paraId="2C8042D1" w14:textId="77777777" w:rsidR="00B128F2" w:rsidRPr="00B128F2" w:rsidRDefault="00B128F2" w:rsidP="00B128F2">
      <w:pPr>
        <w:spacing w:line="276" w:lineRule="auto"/>
        <w:ind w:left="4321"/>
        <w:jc w:val="center"/>
        <w:rPr>
          <w:rFonts w:cstheme="minorHAnsi"/>
        </w:rPr>
      </w:pPr>
      <w:r w:rsidRPr="00B128F2">
        <w:rPr>
          <w:rFonts w:cstheme="minorHAnsi"/>
        </w:rPr>
        <w:t>GRADSKOG VIJEĆA</w:t>
      </w:r>
    </w:p>
    <w:p w14:paraId="4F9003BF" w14:textId="77777777" w:rsidR="00B128F2" w:rsidRPr="00B128F2" w:rsidRDefault="00B128F2" w:rsidP="00B128F2">
      <w:pPr>
        <w:shd w:val="clear" w:color="auto" w:fill="FFFFFF"/>
        <w:spacing w:line="276" w:lineRule="auto"/>
        <w:ind w:left="3600" w:firstLine="720"/>
        <w:jc w:val="center"/>
        <w:rPr>
          <w:rFonts w:cstheme="minorHAnsi"/>
          <w:bCs/>
          <w:highlight w:val="yellow"/>
        </w:rPr>
      </w:pPr>
    </w:p>
    <w:p w14:paraId="62EC9C96" w14:textId="42F1F28D" w:rsidR="00B128F2" w:rsidRPr="00B128F2" w:rsidRDefault="00B128F2" w:rsidP="00B128F2">
      <w:pPr>
        <w:spacing w:line="276" w:lineRule="auto"/>
        <w:jc w:val="center"/>
        <w:rPr>
          <w:rFonts w:cstheme="minorHAnsi"/>
        </w:rPr>
      </w:pPr>
      <w:r w:rsidRPr="00B128F2">
        <w:rPr>
          <w:rFonts w:cstheme="minorHAnsi"/>
        </w:rPr>
        <w:t xml:space="preserve">                                 </w:t>
      </w:r>
      <w:r>
        <w:rPr>
          <w:rFonts w:cstheme="minorHAnsi"/>
        </w:rPr>
        <w:t xml:space="preserve">                                                      </w:t>
      </w:r>
      <w:r w:rsidRPr="00B128F2">
        <w:rPr>
          <w:rFonts w:cstheme="minorHAnsi"/>
        </w:rPr>
        <w:t xml:space="preserve">   Branko Novković, mag.med.techn.</w:t>
      </w:r>
      <w:r w:rsidR="008C5404">
        <w:rPr>
          <w:rFonts w:cstheme="minorHAnsi"/>
        </w:rPr>
        <w:t xml:space="preserve"> v.r.</w:t>
      </w:r>
    </w:p>
    <w:p w14:paraId="2A401D68" w14:textId="77777777" w:rsidR="008A562A" w:rsidRPr="00B128F2" w:rsidRDefault="008A562A" w:rsidP="00B128F2">
      <w:pPr>
        <w:spacing w:line="276" w:lineRule="auto"/>
        <w:rPr>
          <w:rFonts w:cstheme="minorHAnsi"/>
          <w:b/>
        </w:rPr>
      </w:pPr>
    </w:p>
    <w:sectPr w:rsidR="008A562A" w:rsidRPr="00B128F2">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RHelvetica_Light">
    <w:altName w:val="Sitka Text"/>
    <w:panose1 w:val="00000000000000000000"/>
    <w:charset w:val="00"/>
    <w:family w:val="swiss"/>
    <w:notTrueType/>
    <w:pitch w:val="default"/>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334A98"/>
    <w:multiLevelType w:val="singleLevel"/>
    <w:tmpl w:val="DF334A98"/>
    <w:lvl w:ilvl="0">
      <w:start w:val="1"/>
      <w:numFmt w:val="upperRoman"/>
      <w:suff w:val="space"/>
      <w:lvlText w:val="%1."/>
      <w:lvlJc w:val="left"/>
      <w:rPr>
        <w:rFonts w:cs="Times New Roman"/>
      </w:rPr>
    </w:lvl>
  </w:abstractNum>
  <w:abstractNum w:abstractNumId="1"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0776A75"/>
    <w:multiLevelType w:val="singleLevel"/>
    <w:tmpl w:val="20776A75"/>
    <w:lvl w:ilvl="0">
      <w:start w:val="1"/>
      <w:numFmt w:val="decimal"/>
      <w:lvlText w:val="%1."/>
      <w:lvlJc w:val="left"/>
      <w:rPr>
        <w:rFonts w:cs="Times New Roman"/>
      </w:rPr>
    </w:lvl>
  </w:abstractNum>
  <w:abstractNum w:abstractNumId="3" w15:restartNumberingAfterBreak="0">
    <w:nsid w:val="21E36D77"/>
    <w:multiLevelType w:val="singleLevel"/>
    <w:tmpl w:val="21E36D77"/>
    <w:lvl w:ilvl="0">
      <w:start w:val="4"/>
      <w:numFmt w:val="decimal"/>
      <w:suff w:val="space"/>
      <w:lvlText w:val="%1."/>
      <w:lvlJc w:val="left"/>
      <w:rPr>
        <w:rFonts w:cs="Times New Roman"/>
      </w:rPr>
    </w:lvl>
  </w:abstractNum>
  <w:num w:numId="1" w16cid:durableId="1844929211">
    <w:abstractNumId w:val="1"/>
  </w:num>
  <w:num w:numId="2" w16cid:durableId="1932280308">
    <w:abstractNumId w:val="0"/>
  </w:num>
  <w:num w:numId="3" w16cid:durableId="1342584140">
    <w:abstractNumId w:val="2"/>
  </w:num>
  <w:num w:numId="4" w16cid:durableId="201950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17C7"/>
    <w:rsid w:val="000F037B"/>
    <w:rsid w:val="00275B0C"/>
    <w:rsid w:val="002C7B0F"/>
    <w:rsid w:val="00347D72"/>
    <w:rsid w:val="003F65C1"/>
    <w:rsid w:val="00421BCF"/>
    <w:rsid w:val="00675A85"/>
    <w:rsid w:val="00693AB1"/>
    <w:rsid w:val="007F22EC"/>
    <w:rsid w:val="008A562A"/>
    <w:rsid w:val="008C5404"/>
    <w:rsid w:val="008C5FE5"/>
    <w:rsid w:val="009B7A12"/>
    <w:rsid w:val="00A836D0"/>
    <w:rsid w:val="00AC35DA"/>
    <w:rsid w:val="00B128F2"/>
    <w:rsid w:val="00B92D0F"/>
    <w:rsid w:val="00C9578C"/>
    <w:rsid w:val="00D707B3"/>
    <w:rsid w:val="00E55405"/>
    <w:rsid w:val="00F34E0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3402"/>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 w:type="paragraph" w:styleId="Tijeloteksta2">
    <w:name w:val="Body Text 2"/>
    <w:basedOn w:val="Normal"/>
    <w:link w:val="Tijeloteksta2Char"/>
    <w:uiPriority w:val="99"/>
    <w:unhideWhenUsed/>
    <w:rsid w:val="00B128F2"/>
    <w:pPr>
      <w:spacing w:after="120" w:line="480" w:lineRule="auto"/>
    </w:pPr>
  </w:style>
  <w:style w:type="character" w:customStyle="1" w:styleId="Tijeloteksta2Char">
    <w:name w:val="Tijelo teksta 2 Char"/>
    <w:basedOn w:val="Zadanifontodlomka"/>
    <w:link w:val="Tijeloteksta2"/>
    <w:uiPriority w:val="99"/>
    <w:rsid w:val="00B128F2"/>
    <w:rPr>
      <w:noProof/>
    </w:rPr>
  </w:style>
  <w:style w:type="paragraph" w:customStyle="1" w:styleId="TekstCharChar">
    <w:name w:val="Tekst Char Char"/>
    <w:basedOn w:val="Normal"/>
    <w:qFormat/>
    <w:rsid w:val="00B128F2"/>
    <w:pPr>
      <w:widowControl w:val="0"/>
      <w:spacing w:after="160" w:line="300" w:lineRule="exact"/>
      <w:jc w:val="both"/>
    </w:pPr>
    <w:rPr>
      <w:rFonts w:ascii="Times New Roman" w:eastAsia="SimSun" w:hAnsi="Times New Roman" w:cs="Times New Roman"/>
      <w:noProof w:val="0"/>
      <w:sz w:val="24"/>
      <w:szCs w:val="20"/>
      <w:lang w:val="en-AU"/>
    </w:rPr>
  </w:style>
  <w:style w:type="paragraph" w:customStyle="1" w:styleId="H0">
    <w:name w:val="H0"/>
    <w:basedOn w:val="Tijeloteksta2"/>
    <w:qFormat/>
    <w:rsid w:val="00B128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60" w:line="259" w:lineRule="auto"/>
      <w:ind w:right="-140"/>
      <w:jc w:val="center"/>
    </w:pPr>
    <w:rPr>
      <w:rFonts w:ascii="Times New Roman" w:eastAsia="SimSun" w:hAnsi="Times New Roman" w:cs="Times New Roman"/>
      <w:b/>
      <w:caps/>
      <w:noProof w:val="0"/>
      <w:color w:val="000000"/>
      <w:sz w:val="28"/>
      <w:szCs w:val="20"/>
      <w:lang w:val="en-AU"/>
    </w:rPr>
  </w:style>
  <w:style w:type="paragraph" w:customStyle="1" w:styleId="toa">
    <w:name w:val="toa"/>
    <w:basedOn w:val="Normal"/>
    <w:qFormat/>
    <w:rsid w:val="00B128F2"/>
    <w:pPr>
      <w:widowControl w:val="0"/>
      <w:tabs>
        <w:tab w:val="left" w:pos="9000"/>
        <w:tab w:val="right" w:pos="9360"/>
      </w:tabs>
      <w:suppressAutoHyphens/>
      <w:spacing w:after="160" w:line="259" w:lineRule="auto"/>
    </w:pPr>
    <w:rPr>
      <w:rFonts w:ascii="Times New Roman" w:eastAsia="SimSun" w:hAnsi="Times New Roman" w:cs="Times New Roman"/>
      <w:noProof w:val="0"/>
      <w:sz w:val="24"/>
      <w:szCs w:val="20"/>
      <w:lang w:val="en-US"/>
    </w:rPr>
  </w:style>
  <w:style w:type="paragraph" w:customStyle="1" w:styleId="STIL2">
    <w:name w:val="STIL_2"/>
    <w:basedOn w:val="Normal"/>
    <w:qFormat/>
    <w:rsid w:val="00B128F2"/>
    <w:pPr>
      <w:widowControl w:val="0"/>
      <w:spacing w:after="160" w:line="360" w:lineRule="auto"/>
      <w:jc w:val="both"/>
    </w:pPr>
    <w:rPr>
      <w:rFonts w:ascii="HRHelvetica_Light" w:eastAsia="SimSun" w:hAnsi="HRHelvetica_Light" w:cs="Times New Roman"/>
      <w:noProof w:val="0"/>
      <w:szCs w:val="20"/>
      <w:lang w:val="en-US"/>
    </w:rPr>
  </w:style>
  <w:style w:type="paragraph" w:customStyle="1" w:styleId="Normal2">
    <w:name w:val="Normal2"/>
    <w:basedOn w:val="Normal"/>
    <w:qFormat/>
    <w:rsid w:val="00B128F2"/>
    <w:pPr>
      <w:widowControl w:val="0"/>
      <w:spacing w:after="160" w:line="360" w:lineRule="auto"/>
      <w:jc w:val="both"/>
    </w:pPr>
    <w:rPr>
      <w:rFonts w:ascii="Times New Roman" w:eastAsia="SimSun" w:hAnsi="Times New Roman" w:cs="Times New Roman"/>
      <w:noProof w:val="0"/>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8C75AF6-086B-4208-AFE0-00173775B4B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Julija Vrbanec</cp:lastModifiedBy>
  <cp:revision>8</cp:revision>
  <cp:lastPrinted>2014-11-26T14:09:00Z</cp:lastPrinted>
  <dcterms:created xsi:type="dcterms:W3CDTF">2023-06-07T07:24:00Z</dcterms:created>
  <dcterms:modified xsi:type="dcterms:W3CDTF">2024-01-19T07:48:00Z</dcterms:modified>
</cp:coreProperties>
</file>