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5103"/>
      </w:tblGrid>
      <w:tr w:rsidR="00054E26" w:rsidRPr="00670718" w14:paraId="33E0F88E" w14:textId="77777777" w:rsidTr="00147A9F">
        <w:tc>
          <w:tcPr>
            <w:tcW w:w="1135" w:type="dxa"/>
          </w:tcPr>
          <w:p w14:paraId="60DB832B" w14:textId="77777777" w:rsidR="00054E26" w:rsidRPr="00670718" w:rsidRDefault="00054E26" w:rsidP="00147A9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043E874" w14:textId="77777777" w:rsidR="00054E26" w:rsidRPr="00670718" w:rsidRDefault="00054E26" w:rsidP="00147A9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67071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 </w:t>
            </w:r>
          </w:p>
          <w:p w14:paraId="28399032" w14:textId="77777777" w:rsidR="00054E26" w:rsidRPr="00670718" w:rsidRDefault="00054E26" w:rsidP="00147A9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03" w:type="dxa"/>
          </w:tcPr>
          <w:p w14:paraId="435D90C7" w14:textId="77777777" w:rsidR="00054E26" w:rsidRPr="00670718" w:rsidRDefault="00054E26" w:rsidP="00147A9F">
            <w:pPr>
              <w:keepNext/>
              <w:spacing w:before="240" w:after="6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 w:rsidRPr="00670718">
              <w:rPr>
                <w:rFonts w:ascii="Arial Narrow" w:eastAsia="Times New Roman" w:hAnsi="Arial Narrow" w:cs="Arial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6D13B5E" wp14:editId="23DF2F09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87E820" w14:textId="77777777" w:rsidR="00054E26" w:rsidRPr="00670718" w:rsidRDefault="00054E26" w:rsidP="00147A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054E26" w:rsidRPr="00670718" w14:paraId="20F342A3" w14:textId="77777777" w:rsidTr="00147A9F">
        <w:tc>
          <w:tcPr>
            <w:tcW w:w="1135" w:type="dxa"/>
          </w:tcPr>
          <w:p w14:paraId="58AC2CD6" w14:textId="77777777" w:rsidR="00054E26" w:rsidRPr="00670718" w:rsidRDefault="00054E26" w:rsidP="00147A9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670718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41C345A" wp14:editId="0911307F">
                  <wp:extent cx="495300" cy="60007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6040F1FF" w14:textId="77777777" w:rsidR="00054E26" w:rsidRPr="00670718" w:rsidRDefault="00054E26" w:rsidP="00147A9F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 w:rsidRPr="0067071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REPUBLIKA HRVATSKA</w:t>
            </w:r>
          </w:p>
          <w:p w14:paraId="36909ED3" w14:textId="77777777" w:rsidR="00054E26" w:rsidRPr="00670718" w:rsidRDefault="00054E26" w:rsidP="00147A9F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 w:rsidRPr="0067071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BJELOVARSKO-BILOGORSKA ŽUPANIJA</w:t>
            </w:r>
          </w:p>
          <w:p w14:paraId="6529E0AA" w14:textId="77777777" w:rsidR="00054E26" w:rsidRDefault="00054E26" w:rsidP="00147A9F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 w:rsidRPr="0067071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GRAD ČAZMA</w:t>
            </w:r>
          </w:p>
          <w:p w14:paraId="129CB5B3" w14:textId="77777777" w:rsidR="00054E26" w:rsidRPr="00670718" w:rsidRDefault="00054E26" w:rsidP="00147A9F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 xml:space="preserve">Upravni odjel za proračun, komunalno gospodarstvo, gospodarstvo, zaštitu okoliša i ekologiju </w:t>
            </w:r>
          </w:p>
        </w:tc>
      </w:tr>
    </w:tbl>
    <w:p w14:paraId="2F5019F1" w14:textId="77777777" w:rsidR="00054E26" w:rsidRDefault="00054E26" w:rsidP="00054E26">
      <w:pPr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hr-HR"/>
        </w:rPr>
      </w:pPr>
    </w:p>
    <w:p w14:paraId="2F000B44" w14:textId="543099DC" w:rsidR="00054E26" w:rsidRPr="00756CC2" w:rsidRDefault="00756CC2" w:rsidP="00756CC2">
      <w:pPr>
        <w:tabs>
          <w:tab w:val="left" w:pos="5460"/>
        </w:tabs>
        <w:spacing w:after="0" w:line="240" w:lineRule="auto"/>
        <w:rPr>
          <w:rFonts w:ascii="Arial Narrow" w:eastAsia="Times New Roman" w:hAnsi="Arial Narrow" w:cs="Arial Narrow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Arial Narrow"/>
          <w:sz w:val="24"/>
          <w:szCs w:val="24"/>
          <w:lang w:eastAsia="hr-HR"/>
        </w:rPr>
        <w:tab/>
      </w:r>
      <w:r w:rsidRPr="00756CC2">
        <w:rPr>
          <w:rFonts w:ascii="Arial Narrow" w:eastAsia="Times New Roman" w:hAnsi="Arial Narrow" w:cs="Arial Narrow"/>
          <w:b/>
          <w:bCs/>
          <w:sz w:val="24"/>
          <w:szCs w:val="24"/>
          <w:lang w:eastAsia="hr-HR"/>
        </w:rPr>
        <w:t>Gradonačelnik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01"/>
        <w:gridCol w:w="4502"/>
      </w:tblGrid>
      <w:tr w:rsidR="00054E26" w:rsidRPr="00670718" w14:paraId="3F6E09CE" w14:textId="77777777" w:rsidTr="00147A9F">
        <w:tc>
          <w:tcPr>
            <w:tcW w:w="4501" w:type="dxa"/>
          </w:tcPr>
          <w:p w14:paraId="2FBD0BF1" w14:textId="77777777" w:rsidR="00054E26" w:rsidRPr="00670718" w:rsidRDefault="00054E26" w:rsidP="00147A9F">
            <w:pPr>
              <w:rPr>
                <w:rFonts w:ascii="Arial Narrow" w:eastAsia="Times New Roman" w:hAnsi="Arial Narrow" w:cs="Arial Narrow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502" w:type="dxa"/>
          </w:tcPr>
          <w:p w14:paraId="027FE709" w14:textId="0ABEFE9E" w:rsidR="00054E26" w:rsidRDefault="00B40BE8" w:rsidP="00147A9F">
            <w:pPr>
              <w:spacing w:after="0" w:line="240" w:lineRule="auto"/>
              <w:ind w:left="855"/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hr-HR"/>
              </w:rPr>
              <w:t>Upravni odjeli Grada Čazme</w:t>
            </w:r>
          </w:p>
          <w:p w14:paraId="7FCEE682" w14:textId="77777777" w:rsidR="00054E26" w:rsidRPr="00670718" w:rsidRDefault="00054E26" w:rsidP="00147A9F">
            <w:pPr>
              <w:spacing w:after="0" w:line="240" w:lineRule="auto"/>
              <w:ind w:left="855"/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hr-HR"/>
              </w:rPr>
              <w:t>Proračunski korisnici Grada Čazme</w:t>
            </w:r>
          </w:p>
        </w:tc>
      </w:tr>
      <w:tr w:rsidR="00054E26" w:rsidRPr="00670718" w14:paraId="3A1793DD" w14:textId="77777777" w:rsidTr="00147A9F">
        <w:trPr>
          <w:gridBefore w:val="1"/>
          <w:wBefore w:w="4501" w:type="dxa"/>
        </w:trPr>
        <w:tc>
          <w:tcPr>
            <w:tcW w:w="4502" w:type="dxa"/>
          </w:tcPr>
          <w:p w14:paraId="7B7B0910" w14:textId="77777777" w:rsidR="00054E26" w:rsidRPr="001412A1" w:rsidRDefault="00054E26" w:rsidP="00147A9F">
            <w:pPr>
              <w:pStyle w:val="Odlomakpopisa"/>
              <w:spacing w:after="0" w:line="240" w:lineRule="auto"/>
              <w:ind w:left="1185"/>
              <w:rPr>
                <w:rFonts w:ascii="Arial Narrow" w:eastAsia="Times New Roman" w:hAnsi="Arial Narrow" w:cs="Arial Narrow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hr-HR"/>
              </w:rPr>
              <w:t xml:space="preserve">                -</w:t>
            </w:r>
            <w:r w:rsidRPr="001412A1">
              <w:rPr>
                <w:rFonts w:ascii="Arial Narrow" w:eastAsia="Times New Roman" w:hAnsi="Arial Narrow" w:cs="Arial Narrow"/>
                <w:sz w:val="24"/>
                <w:szCs w:val="24"/>
                <w:lang w:eastAsia="hr-HR"/>
              </w:rPr>
              <w:t xml:space="preserve">  SVIMA</w:t>
            </w:r>
          </w:p>
        </w:tc>
      </w:tr>
      <w:tr w:rsidR="00054E26" w:rsidRPr="00670718" w14:paraId="7CAFB68A" w14:textId="77777777" w:rsidTr="00147A9F">
        <w:trPr>
          <w:gridBefore w:val="1"/>
          <w:wBefore w:w="4501" w:type="dxa"/>
          <w:trHeight w:val="80"/>
        </w:trPr>
        <w:tc>
          <w:tcPr>
            <w:tcW w:w="4502" w:type="dxa"/>
          </w:tcPr>
          <w:p w14:paraId="3590523D" w14:textId="77777777" w:rsidR="00054E26" w:rsidRPr="00670718" w:rsidRDefault="00054E26" w:rsidP="00147A9F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7BFAB7CD" w14:textId="77777777" w:rsidR="00054E26" w:rsidRDefault="00054E26" w:rsidP="00054E26">
      <w:pP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4"/>
          <w:szCs w:val="24"/>
          <w:lang w:eastAsia="hr-HR"/>
        </w:rPr>
      </w:pPr>
    </w:p>
    <w:p w14:paraId="5C6A346C" w14:textId="77777777" w:rsidR="00054E26" w:rsidRPr="00E9618B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961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  Upute za izradu proračuna Grada Čazme</w:t>
      </w:r>
    </w:p>
    <w:p w14:paraId="716A044C" w14:textId="5B3E9B2C" w:rsidR="00054E26" w:rsidRPr="00E9618B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961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B40B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Pr="00E961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 financijskih planova proračunskih korisnika</w:t>
      </w:r>
    </w:p>
    <w:p w14:paraId="0B33DB7D" w14:textId="6919D482" w:rsidR="00054E26" w:rsidRPr="00E9618B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961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</w:t>
      </w:r>
      <w:r w:rsidR="00B40B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Pr="00E961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razdoblje 202</w:t>
      </w:r>
      <w:r w:rsidR="00D462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E961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– 202</w:t>
      </w:r>
      <w:r w:rsidR="00D462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E961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</w:p>
    <w:p w14:paraId="5F77F1E5" w14:textId="77777777" w:rsidR="00054E26" w:rsidRDefault="00054E26" w:rsidP="00054E26">
      <w:pP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hr-HR"/>
        </w:rPr>
      </w:pPr>
    </w:p>
    <w:p w14:paraId="1787D3D5" w14:textId="77777777" w:rsidR="00054E26" w:rsidRDefault="00054E26" w:rsidP="00054E26">
      <w:pP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hr-HR"/>
        </w:rPr>
      </w:pPr>
    </w:p>
    <w:p w14:paraId="50D64C99" w14:textId="77777777" w:rsidR="00054E26" w:rsidRPr="002D78D5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UVOD</w:t>
      </w:r>
    </w:p>
    <w:p w14:paraId="48456897" w14:textId="77777777" w:rsidR="00054E26" w:rsidRPr="002D78D5" w:rsidRDefault="00054E26" w:rsidP="00054E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CA4EFC" w14:textId="2175C328" w:rsidR="00054E26" w:rsidRDefault="00054E26" w:rsidP="00054E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financija donijelo je Uputu za izradu proračuna jedinica lokalne i područne (regionalne) samouprave za razdoblje 202</w:t>
      </w:r>
      <w:r w:rsidR="00D4627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.-202</w:t>
      </w:r>
      <w:r w:rsidR="00D462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sukladno odredbama Zakona o Proračunu (Narodne novine broj 144/21). Na temelju dostavljenih Uputa Ministarstva i u skladu s odredbama Zakona o proračunu jedinice lokalne samouprave  trebaju izraditi svoje upute za izradu proračuna i dostaviti ih svojim proračunskim i izvanproračunskim korisnicima.</w:t>
      </w:r>
    </w:p>
    <w:p w14:paraId="603FD161" w14:textId="77777777" w:rsidR="00E65264" w:rsidRPr="002D78D5" w:rsidRDefault="00E65264" w:rsidP="00054E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44E320" w14:textId="568ED898" w:rsidR="00054E26" w:rsidRPr="002D78D5" w:rsidRDefault="00054E26" w:rsidP="00054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Upute za izradu Proračuna Grada Čazme i financijskih planova proračunskih korisnika za razdoblje od 202</w:t>
      </w:r>
      <w:r w:rsidR="00D4627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 w:rsidR="00D462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9C2B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izrađuje Upravni odsjek za financije u suradnji s </w:t>
      </w:r>
      <w:r w:rsidR="00370A7E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upravnim odjelima Grada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70A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 će se i na službenoj stranici Grada Čazme,</w:t>
      </w:r>
    </w:p>
    <w:p w14:paraId="5ACA2AB3" w14:textId="77777777" w:rsidR="00054E26" w:rsidRDefault="00054E26" w:rsidP="00054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D4FA55" w14:textId="77777777" w:rsidR="00054E26" w:rsidRDefault="00000000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054E26" w:rsidRPr="00E32A7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http://www.cazma.hr/proracun/</w:t>
        </w:r>
      </w:hyperlink>
    </w:p>
    <w:p w14:paraId="3D945889" w14:textId="77777777" w:rsidR="00054E26" w:rsidRPr="002D78D5" w:rsidRDefault="00054E26" w:rsidP="00054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54872" w14:textId="77777777" w:rsidR="00054E26" w:rsidRPr="002D78D5" w:rsidRDefault="00054E26" w:rsidP="00054E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Upute Ministarstva financija objavljene su na mrežnoj stranici </w:t>
      </w:r>
    </w:p>
    <w:p w14:paraId="6E8944F5" w14:textId="77777777" w:rsidR="00054E26" w:rsidRPr="002D78D5" w:rsidRDefault="00054E26" w:rsidP="00054E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ECFD29" w14:textId="3B2B60AB" w:rsidR="00054E26" w:rsidRDefault="00000000" w:rsidP="00D46274">
      <w:pPr>
        <w:spacing w:after="0"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hyperlink r:id="rId8" w:history="1">
        <w:r w:rsidR="00D46274" w:rsidRPr="004208BB">
          <w:rPr>
            <w:rStyle w:val="Hiperveza"/>
            <w:rFonts w:ascii="Times New Roman" w:hAnsi="Times New Roman" w:cs="Times New Roman"/>
            <w:sz w:val="24"/>
            <w:szCs w:val="24"/>
          </w:rPr>
          <w:t>https://mfin.gov.hr/istaknute-teme/lokalna-samouprava/upute-za-izradu-proracuna-jlp-r-s/205</w:t>
        </w:r>
      </w:hyperlink>
    </w:p>
    <w:p w14:paraId="2BFD9B7C" w14:textId="77777777" w:rsidR="00D46274" w:rsidRPr="002D78D5" w:rsidRDefault="00D46274" w:rsidP="00D46274">
      <w:pPr>
        <w:spacing w:after="0"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19B8DD52" w14:textId="1448578C" w:rsidR="00054E26" w:rsidRPr="002D78D5" w:rsidRDefault="00054E26" w:rsidP="00054E2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78D5">
        <w:rPr>
          <w:rFonts w:ascii="Times New Roman" w:hAnsi="Times New Roman" w:cs="Times New Roman"/>
          <w:sz w:val="24"/>
          <w:szCs w:val="24"/>
        </w:rPr>
        <w:t>Metodologija za izradu proračuna jedinica lokalne i područne (regionalne) samouprave propisana je Zakonom o proračunu i podzakonskim aktima kojima se regulira provedba navedenoga Zakona. Do donošenja novih podzakonskih akata i u ovom proračunskom ciklusu koriste se Pravilnik o proračunskim klasifikacijama (Narodne novine, br. 26/10, 120/1</w:t>
      </w:r>
      <w:r w:rsidR="00D46274">
        <w:rPr>
          <w:rFonts w:ascii="Times New Roman" w:hAnsi="Times New Roman" w:cs="Times New Roman"/>
          <w:sz w:val="24"/>
          <w:szCs w:val="24"/>
        </w:rPr>
        <w:t>3</w:t>
      </w:r>
      <w:r w:rsidRPr="002D78D5">
        <w:rPr>
          <w:rFonts w:ascii="Times New Roman" w:hAnsi="Times New Roman" w:cs="Times New Roman"/>
          <w:sz w:val="24"/>
          <w:szCs w:val="24"/>
        </w:rPr>
        <w:t xml:space="preserve"> i 1/20) i Pravilnik o proračunskom računovodstvu i Računskom planu (Narodne novine, br. 124/14, 115/15, 87/16, 3/18, 126/19 i 108/20).</w:t>
      </w:r>
    </w:p>
    <w:p w14:paraId="640F5AF1" w14:textId="77777777" w:rsidR="00054E26" w:rsidRPr="002D78D5" w:rsidRDefault="00054E26" w:rsidP="00054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4028F" w14:textId="66DB8A70" w:rsidR="00370A7E" w:rsidRPr="002D78D5" w:rsidRDefault="00370A7E" w:rsidP="00370A7E">
      <w:pPr>
        <w:spacing w:after="0" w:line="240" w:lineRule="auto"/>
        <w:ind w:lef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TEMELJNA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MAKRO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EKONOMSKA ISHODIŠTA I PRETPOSTAVKE ZA IZRADU</w:t>
      </w:r>
    </w:p>
    <w:p w14:paraId="0562D775" w14:textId="43CC0B0E" w:rsidR="00370A7E" w:rsidRDefault="00370A7E" w:rsidP="00370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PRIJEDLOGA FINANCIJSKIH PLANOVA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PRORAČUNA GRADA ČAZME</w:t>
      </w:r>
    </w:p>
    <w:p w14:paraId="0052E2D6" w14:textId="0450A0DB" w:rsidR="00DD13D9" w:rsidRPr="002D78D5" w:rsidRDefault="00DD13D9" w:rsidP="00370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RAZDOBLJE 2024. – 2026.</w:t>
      </w:r>
    </w:p>
    <w:p w14:paraId="3BF05D20" w14:textId="77777777" w:rsidR="00370A7E" w:rsidRPr="002D78D5" w:rsidRDefault="00370A7E" w:rsidP="00370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316241" w14:textId="77777777" w:rsidR="00370A7E" w:rsidRPr="002D78D5" w:rsidRDefault="00370A7E" w:rsidP="00370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Temeljni fiskalni cilj u nadolazećem razdoblju je smanjenje proračunske neravnoteže kroz snižavanje udjela proračunskih rashoda te smanjenje deficita što proizlazi iz Zakona o fiskalnoj odgovornosti, ali i objektivnih ekonomskih i financijskih okolnosti.</w:t>
      </w:r>
    </w:p>
    <w:p w14:paraId="749311FB" w14:textId="77777777" w:rsidR="00370A7E" w:rsidRPr="002D78D5" w:rsidRDefault="00370A7E" w:rsidP="00370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25B721" w14:textId="77777777" w:rsidR="00370A7E" w:rsidRDefault="00370A7E" w:rsidP="00370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Metodologija za izradu prijedloga financijskog plana, odnosno proračuna jedinice lokalne i područne ( regionalne ) samouprave propisana je Zakonom o proračunu i podzakonskim aktima kojima se regulira provedba istoga, ponajprije Pravilnikom o proračunskim klasifikacijama i Pravilnikom o proračunskom računovodstvu i Računskom planu.</w:t>
      </w:r>
    </w:p>
    <w:p w14:paraId="1940CD6F" w14:textId="0EA1E259" w:rsidR="00DD13D9" w:rsidRDefault="00DD13D9" w:rsidP="00DD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       </w:t>
      </w:r>
      <w:r w:rsidRPr="00DD13D9">
        <w:rPr>
          <w:rFonts w:ascii="Times New Roman" w:hAnsi="Times New Roman" w:cs="Times New Roman"/>
          <w:sz w:val="24"/>
          <w:szCs w:val="24"/>
          <w14:ligatures w14:val="standardContextual"/>
        </w:rPr>
        <w:t>Ministarstvo financija je izradilo prijedlog, a Vlada usvojila Program stabilnosti Republike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D13D9">
        <w:rPr>
          <w:rFonts w:ascii="Times New Roman" w:hAnsi="Times New Roman" w:cs="Times New Roman"/>
          <w:sz w:val="24"/>
          <w:szCs w:val="24"/>
          <w14:ligatures w14:val="standardContextual"/>
        </w:rPr>
        <w:t>Hrvatske za razdoblje 2024. - 2026. (dalje u tekstu: Program stabilnosti ) u travnju 2023. Na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D13D9">
        <w:rPr>
          <w:rFonts w:ascii="Times New Roman" w:hAnsi="Times New Roman" w:cs="Times New Roman"/>
          <w:sz w:val="24"/>
          <w:szCs w:val="24"/>
          <w14:ligatures w14:val="standardContextual"/>
        </w:rPr>
        <w:t>temelju Programa stabilnosti Vlada je u lipnju 2023. donijela Odluku o proračunskom okviru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D13D9">
        <w:rPr>
          <w:rFonts w:ascii="Times New Roman" w:hAnsi="Times New Roman" w:cs="Times New Roman"/>
          <w:sz w:val="24"/>
          <w:szCs w:val="24"/>
          <w14:ligatures w14:val="standardContextual"/>
        </w:rPr>
        <w:t>za razdoblje 2024. – 2026.</w:t>
      </w:r>
    </w:p>
    <w:p w14:paraId="717B1BE4" w14:textId="77777777" w:rsidR="00DD13D9" w:rsidRPr="00DD13D9" w:rsidRDefault="00DD13D9" w:rsidP="00DD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6615D923" w14:textId="0C183481" w:rsidR="00DD13D9" w:rsidRPr="00DD13D9" w:rsidRDefault="00DD13D9" w:rsidP="00DD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D13D9">
        <w:rPr>
          <w:rFonts w:ascii="Times New Roman" w:hAnsi="Times New Roman" w:cs="Times New Roman"/>
          <w:sz w:val="24"/>
          <w:szCs w:val="24"/>
          <w14:ligatures w14:val="standardContextual"/>
        </w:rPr>
        <w:t>Sukladno Programu stabilnosti fiskalna kretanja u 2023. rezultirat će proračunskim manjkom</w:t>
      </w:r>
    </w:p>
    <w:p w14:paraId="59B89773" w14:textId="4775C1B9" w:rsidR="00370A7E" w:rsidRDefault="00DD13D9" w:rsidP="00DD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DD13D9">
        <w:rPr>
          <w:rFonts w:ascii="Times New Roman" w:hAnsi="Times New Roman" w:cs="Times New Roman"/>
          <w:sz w:val="24"/>
          <w:szCs w:val="24"/>
          <w14:ligatures w14:val="standardContextual"/>
        </w:rPr>
        <w:t>od 0,7% BDP-a, odnosno 1,5% BDP-a u 2024., 0,8% BDP-a u 2025. te 0,6% BDP-a do kraja 2026.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D13D9">
        <w:rPr>
          <w:rFonts w:ascii="Times New Roman" w:hAnsi="Times New Roman" w:cs="Times New Roman"/>
          <w:sz w:val="24"/>
          <w:szCs w:val="24"/>
          <w14:ligatures w14:val="standardContextual"/>
        </w:rPr>
        <w:t>godine. Ovim je ispunjen kriterij proračunskog manjka sukladno odredbama Pakta o stabilnosti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D13D9">
        <w:rPr>
          <w:rFonts w:ascii="Times New Roman" w:hAnsi="Times New Roman" w:cs="Times New Roman"/>
          <w:sz w:val="24"/>
          <w:szCs w:val="24"/>
          <w14:ligatures w14:val="standardContextual"/>
        </w:rPr>
        <w:t>i rastu. Udio javnog duga u nominalnoj vrijednosti BDP-a će se kontinuirano nastaviti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D13D9">
        <w:rPr>
          <w:rFonts w:ascii="Times New Roman" w:hAnsi="Times New Roman" w:cs="Times New Roman"/>
          <w:sz w:val="24"/>
          <w:szCs w:val="24"/>
          <w14:ligatures w14:val="standardContextual"/>
        </w:rPr>
        <w:t>smanjivati u promatranom srednjoročnom razdoblju i to sa 62,6% BDP-a u 2023., na 59,8%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</w:t>
      </w:r>
      <w:r w:rsidRPr="00DD13D9">
        <w:rPr>
          <w:rFonts w:ascii="Times New Roman" w:hAnsi="Times New Roman" w:cs="Times New Roman"/>
          <w:sz w:val="24"/>
          <w:szCs w:val="24"/>
          <w14:ligatures w14:val="standardContextual"/>
        </w:rPr>
        <w:t>BDP-a u 2024. odnosno 57,5% u 2025. te 55,6% BDP-a u 2026. godini.</w:t>
      </w:r>
    </w:p>
    <w:p w14:paraId="09AF011A" w14:textId="77777777" w:rsidR="00DD13D9" w:rsidRDefault="00DD13D9" w:rsidP="00DD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7556601C" w14:textId="77777777" w:rsidR="00DD13D9" w:rsidRPr="00DD13D9" w:rsidRDefault="00DD13D9" w:rsidP="00DD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6F62A" w14:textId="77777777" w:rsidR="00370A7E" w:rsidRPr="00B1113D" w:rsidRDefault="00370A7E" w:rsidP="00370A7E">
      <w:pPr>
        <w:jc w:val="both"/>
        <w:rPr>
          <w:rFonts w:ascii="Arial" w:hAnsi="Arial" w:cs="Arial"/>
        </w:rPr>
      </w:pPr>
      <w:r w:rsidRPr="00B1113D">
        <w:rPr>
          <w:rFonts w:ascii="Arial" w:hAnsi="Arial" w:cs="Arial"/>
        </w:rPr>
        <w:t>Tablica 1. Projekcija bruto domaćeg proizvoda</w:t>
      </w: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2947"/>
        <w:gridCol w:w="1118"/>
        <w:gridCol w:w="1112"/>
        <w:gridCol w:w="1088"/>
        <w:gridCol w:w="1089"/>
        <w:gridCol w:w="1092"/>
      </w:tblGrid>
      <w:tr w:rsidR="00370A7E" w14:paraId="4D2952FA" w14:textId="77777777" w:rsidTr="009808D0">
        <w:trPr>
          <w:trHeight w:val="270"/>
        </w:trPr>
        <w:tc>
          <w:tcPr>
            <w:tcW w:w="4065" w:type="dxa"/>
            <w:gridSpan w:val="2"/>
            <w:tcBorders>
              <w:top w:val="single" w:sz="6" w:space="0" w:color="000000"/>
            </w:tcBorders>
            <w:shd w:val="clear" w:color="auto" w:fill="99CCFF"/>
          </w:tcPr>
          <w:p w14:paraId="4F6E6580" w14:textId="77777777" w:rsidR="00370A7E" w:rsidRDefault="00370A7E" w:rsidP="00980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6" w:space="0" w:color="000000"/>
            </w:tcBorders>
            <w:shd w:val="clear" w:color="auto" w:fill="99CCFF"/>
          </w:tcPr>
          <w:p w14:paraId="5938BAD6" w14:textId="77777777" w:rsidR="00370A7E" w:rsidRDefault="00370A7E" w:rsidP="009808D0">
            <w:pPr>
              <w:pStyle w:val="TableParagraph"/>
              <w:spacing w:before="36"/>
              <w:ind w:right="18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Projekcija</w:t>
            </w:r>
            <w:proofErr w:type="spellEnd"/>
          </w:p>
        </w:tc>
        <w:tc>
          <w:tcPr>
            <w:tcW w:w="1088" w:type="dxa"/>
            <w:tcBorders>
              <w:top w:val="single" w:sz="6" w:space="0" w:color="000000"/>
            </w:tcBorders>
            <w:shd w:val="clear" w:color="auto" w:fill="99CCFF"/>
          </w:tcPr>
          <w:p w14:paraId="70648DB0" w14:textId="77777777" w:rsidR="00370A7E" w:rsidRDefault="00370A7E" w:rsidP="009808D0">
            <w:pPr>
              <w:pStyle w:val="TableParagraph"/>
              <w:spacing w:before="36"/>
              <w:ind w:right="184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Projekcija</w:t>
            </w:r>
            <w:proofErr w:type="spellEnd"/>
          </w:p>
        </w:tc>
        <w:tc>
          <w:tcPr>
            <w:tcW w:w="1089" w:type="dxa"/>
            <w:tcBorders>
              <w:top w:val="single" w:sz="6" w:space="0" w:color="000000"/>
            </w:tcBorders>
            <w:shd w:val="clear" w:color="auto" w:fill="99CCFF"/>
          </w:tcPr>
          <w:p w14:paraId="5C9C92FF" w14:textId="77777777" w:rsidR="00370A7E" w:rsidRDefault="00370A7E" w:rsidP="009808D0">
            <w:pPr>
              <w:pStyle w:val="TableParagraph"/>
              <w:spacing w:before="36"/>
              <w:ind w:right="184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Projekcija</w:t>
            </w:r>
            <w:proofErr w:type="spellEnd"/>
          </w:p>
        </w:tc>
        <w:tc>
          <w:tcPr>
            <w:tcW w:w="1092" w:type="dxa"/>
            <w:tcBorders>
              <w:top w:val="single" w:sz="6" w:space="0" w:color="000000"/>
            </w:tcBorders>
            <w:shd w:val="clear" w:color="auto" w:fill="99CCFF"/>
          </w:tcPr>
          <w:p w14:paraId="7DC0166D" w14:textId="77777777" w:rsidR="00370A7E" w:rsidRDefault="00370A7E" w:rsidP="009808D0">
            <w:pPr>
              <w:pStyle w:val="TableParagraph"/>
              <w:spacing w:before="36"/>
              <w:ind w:right="189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Projekcija</w:t>
            </w:r>
            <w:proofErr w:type="spellEnd"/>
          </w:p>
        </w:tc>
      </w:tr>
      <w:tr w:rsidR="00370A7E" w14:paraId="648F8590" w14:textId="77777777" w:rsidTr="009808D0">
        <w:trPr>
          <w:trHeight w:val="209"/>
        </w:trPr>
        <w:tc>
          <w:tcPr>
            <w:tcW w:w="4065" w:type="dxa"/>
            <w:gridSpan w:val="2"/>
            <w:tcBorders>
              <w:bottom w:val="single" w:sz="12" w:space="0" w:color="000000"/>
            </w:tcBorders>
            <w:shd w:val="clear" w:color="auto" w:fill="99CCFF"/>
          </w:tcPr>
          <w:p w14:paraId="45611291" w14:textId="77777777" w:rsidR="00370A7E" w:rsidRDefault="00370A7E" w:rsidP="009808D0">
            <w:pPr>
              <w:pStyle w:val="TableParagraph"/>
              <w:spacing w:line="190" w:lineRule="exact"/>
              <w:ind w:right="336"/>
              <w:rPr>
                <w:b/>
                <w:sz w:val="17"/>
              </w:rPr>
            </w:pPr>
            <w:r>
              <w:rPr>
                <w:b/>
                <w:sz w:val="17"/>
              </w:rPr>
              <w:t>2022.</w:t>
            </w:r>
          </w:p>
        </w:tc>
        <w:tc>
          <w:tcPr>
            <w:tcW w:w="1112" w:type="dxa"/>
            <w:tcBorders>
              <w:bottom w:val="single" w:sz="12" w:space="0" w:color="000000"/>
            </w:tcBorders>
            <w:shd w:val="clear" w:color="auto" w:fill="99CCFF"/>
          </w:tcPr>
          <w:p w14:paraId="38122509" w14:textId="77777777" w:rsidR="00370A7E" w:rsidRDefault="00370A7E" w:rsidP="009808D0">
            <w:pPr>
              <w:pStyle w:val="TableParagraph"/>
              <w:spacing w:line="190" w:lineRule="exact"/>
              <w:ind w:left="390"/>
              <w:rPr>
                <w:b/>
                <w:sz w:val="17"/>
              </w:rPr>
            </w:pPr>
            <w:r>
              <w:rPr>
                <w:b/>
                <w:sz w:val="17"/>
              </w:rPr>
              <w:t>2023.</w:t>
            </w:r>
          </w:p>
        </w:tc>
        <w:tc>
          <w:tcPr>
            <w:tcW w:w="1088" w:type="dxa"/>
            <w:tcBorders>
              <w:bottom w:val="single" w:sz="12" w:space="0" w:color="000000"/>
            </w:tcBorders>
            <w:shd w:val="clear" w:color="auto" w:fill="99CCFF"/>
          </w:tcPr>
          <w:p w14:paraId="2B239460" w14:textId="77777777" w:rsidR="00370A7E" w:rsidRDefault="00370A7E" w:rsidP="009808D0">
            <w:pPr>
              <w:pStyle w:val="TableParagraph"/>
              <w:spacing w:line="190" w:lineRule="exact"/>
              <w:ind w:left="365"/>
              <w:rPr>
                <w:b/>
                <w:sz w:val="17"/>
              </w:rPr>
            </w:pPr>
            <w:r>
              <w:rPr>
                <w:b/>
                <w:sz w:val="17"/>
              </w:rPr>
              <w:t>2024.</w:t>
            </w:r>
          </w:p>
        </w:tc>
        <w:tc>
          <w:tcPr>
            <w:tcW w:w="1089" w:type="dxa"/>
            <w:tcBorders>
              <w:bottom w:val="single" w:sz="12" w:space="0" w:color="000000"/>
            </w:tcBorders>
            <w:shd w:val="clear" w:color="auto" w:fill="99CCFF"/>
          </w:tcPr>
          <w:p w14:paraId="0EFFF301" w14:textId="77777777" w:rsidR="00370A7E" w:rsidRDefault="00370A7E" w:rsidP="009808D0">
            <w:pPr>
              <w:pStyle w:val="TableParagraph"/>
              <w:spacing w:line="190" w:lineRule="exact"/>
              <w:ind w:left="364"/>
              <w:rPr>
                <w:b/>
                <w:sz w:val="17"/>
              </w:rPr>
            </w:pPr>
            <w:r>
              <w:rPr>
                <w:b/>
                <w:sz w:val="17"/>
              </w:rPr>
              <w:t>2025.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  <w:shd w:val="clear" w:color="auto" w:fill="99CCFF"/>
          </w:tcPr>
          <w:p w14:paraId="0C1A35D3" w14:textId="77777777" w:rsidR="00370A7E" w:rsidRDefault="00370A7E" w:rsidP="009808D0">
            <w:pPr>
              <w:pStyle w:val="TableParagraph"/>
              <w:spacing w:line="190" w:lineRule="exact"/>
              <w:ind w:left="362"/>
              <w:rPr>
                <w:b/>
                <w:sz w:val="17"/>
              </w:rPr>
            </w:pPr>
            <w:r>
              <w:rPr>
                <w:b/>
                <w:sz w:val="17"/>
              </w:rPr>
              <w:t>2026.</w:t>
            </w:r>
          </w:p>
        </w:tc>
      </w:tr>
      <w:tr w:rsidR="00370A7E" w14:paraId="0C15FED1" w14:textId="77777777" w:rsidTr="009808D0">
        <w:trPr>
          <w:trHeight w:val="305"/>
        </w:trPr>
        <w:tc>
          <w:tcPr>
            <w:tcW w:w="2947" w:type="dxa"/>
          </w:tcPr>
          <w:p w14:paraId="7103E211" w14:textId="77777777" w:rsidR="00370A7E" w:rsidRDefault="00370A7E" w:rsidP="009808D0">
            <w:pPr>
              <w:pStyle w:val="TableParagraph"/>
              <w:spacing w:before="94" w:line="191" w:lineRule="exact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BDP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realni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rast</w:t>
            </w:r>
            <w:proofErr w:type="spellEnd"/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(%)</w:t>
            </w:r>
          </w:p>
        </w:tc>
        <w:tc>
          <w:tcPr>
            <w:tcW w:w="1118" w:type="dxa"/>
          </w:tcPr>
          <w:p w14:paraId="3D049093" w14:textId="77777777" w:rsidR="00370A7E" w:rsidRDefault="00370A7E" w:rsidP="009808D0">
            <w:pPr>
              <w:pStyle w:val="TableParagraph"/>
              <w:spacing w:before="94" w:line="191" w:lineRule="exact"/>
              <w:ind w:right="204"/>
              <w:rPr>
                <w:b/>
                <w:sz w:val="17"/>
              </w:rPr>
            </w:pPr>
            <w:r>
              <w:rPr>
                <w:b/>
                <w:sz w:val="17"/>
              </w:rPr>
              <w:t>6,3</w:t>
            </w:r>
          </w:p>
        </w:tc>
        <w:tc>
          <w:tcPr>
            <w:tcW w:w="1112" w:type="dxa"/>
          </w:tcPr>
          <w:p w14:paraId="732B2E8B" w14:textId="77777777" w:rsidR="00370A7E" w:rsidRDefault="00370A7E" w:rsidP="009808D0">
            <w:pPr>
              <w:pStyle w:val="TableParagraph"/>
              <w:spacing w:before="94" w:line="191" w:lineRule="exact"/>
              <w:ind w:right="228"/>
              <w:rPr>
                <w:b/>
                <w:sz w:val="17"/>
              </w:rPr>
            </w:pPr>
            <w:r>
              <w:rPr>
                <w:b/>
                <w:sz w:val="17"/>
              </w:rPr>
              <w:t>2,2</w:t>
            </w:r>
          </w:p>
        </w:tc>
        <w:tc>
          <w:tcPr>
            <w:tcW w:w="1088" w:type="dxa"/>
          </w:tcPr>
          <w:p w14:paraId="5AA56DDA" w14:textId="77777777" w:rsidR="00370A7E" w:rsidRDefault="00370A7E" w:rsidP="009808D0">
            <w:pPr>
              <w:pStyle w:val="TableParagraph"/>
              <w:spacing w:before="94" w:line="191" w:lineRule="exact"/>
              <w:ind w:right="227"/>
              <w:rPr>
                <w:b/>
                <w:sz w:val="17"/>
              </w:rPr>
            </w:pPr>
            <w:r>
              <w:rPr>
                <w:b/>
                <w:sz w:val="17"/>
              </w:rPr>
              <w:t>2,6</w:t>
            </w:r>
          </w:p>
        </w:tc>
        <w:tc>
          <w:tcPr>
            <w:tcW w:w="1089" w:type="dxa"/>
          </w:tcPr>
          <w:p w14:paraId="177418A4" w14:textId="77777777" w:rsidR="00370A7E" w:rsidRDefault="00370A7E" w:rsidP="009808D0">
            <w:pPr>
              <w:pStyle w:val="TableParagraph"/>
              <w:spacing w:before="94" w:line="191" w:lineRule="exact"/>
              <w:ind w:right="228"/>
              <w:rPr>
                <w:b/>
                <w:sz w:val="17"/>
              </w:rPr>
            </w:pPr>
            <w:r>
              <w:rPr>
                <w:b/>
                <w:sz w:val="17"/>
              </w:rPr>
              <w:t>2,5</w:t>
            </w:r>
          </w:p>
        </w:tc>
        <w:tc>
          <w:tcPr>
            <w:tcW w:w="1092" w:type="dxa"/>
          </w:tcPr>
          <w:p w14:paraId="5BE21A40" w14:textId="77777777" w:rsidR="00370A7E" w:rsidRDefault="00370A7E" w:rsidP="009808D0">
            <w:pPr>
              <w:pStyle w:val="TableParagraph"/>
              <w:spacing w:before="94" w:line="191" w:lineRule="exact"/>
              <w:ind w:right="233"/>
              <w:rPr>
                <w:b/>
                <w:sz w:val="17"/>
              </w:rPr>
            </w:pPr>
            <w:r>
              <w:rPr>
                <w:b/>
                <w:sz w:val="17"/>
              </w:rPr>
              <w:t>2,2</w:t>
            </w:r>
          </w:p>
        </w:tc>
      </w:tr>
      <w:tr w:rsidR="00370A7E" w14:paraId="4FF7D4EA" w14:textId="77777777" w:rsidTr="009808D0">
        <w:trPr>
          <w:trHeight w:val="253"/>
        </w:trPr>
        <w:tc>
          <w:tcPr>
            <w:tcW w:w="2947" w:type="dxa"/>
          </w:tcPr>
          <w:p w14:paraId="42DD4B2D" w14:textId="77777777" w:rsidR="00370A7E" w:rsidRDefault="00370A7E" w:rsidP="009808D0">
            <w:pPr>
              <w:pStyle w:val="TableParagraph"/>
              <w:spacing w:before="19"/>
              <w:ind w:left="161"/>
              <w:rPr>
                <w:sz w:val="17"/>
              </w:rPr>
            </w:pPr>
            <w:proofErr w:type="spellStart"/>
            <w:r>
              <w:rPr>
                <w:sz w:val="17"/>
              </w:rPr>
              <w:t>Osobna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potrošnja</w:t>
            </w:r>
            <w:r>
              <w:rPr>
                <w:sz w:val="17"/>
                <w:vertAlign w:val="superscript"/>
              </w:rPr>
              <w:t>1</w:t>
            </w:r>
          </w:p>
        </w:tc>
        <w:tc>
          <w:tcPr>
            <w:tcW w:w="1118" w:type="dxa"/>
          </w:tcPr>
          <w:p w14:paraId="3E99E07A" w14:textId="77777777" w:rsidR="00370A7E" w:rsidRDefault="00370A7E" w:rsidP="009808D0">
            <w:pPr>
              <w:pStyle w:val="TableParagraph"/>
              <w:spacing w:before="19"/>
              <w:ind w:right="204"/>
              <w:rPr>
                <w:sz w:val="17"/>
              </w:rPr>
            </w:pPr>
            <w:r>
              <w:rPr>
                <w:sz w:val="17"/>
              </w:rPr>
              <w:t>5,1</w:t>
            </w:r>
          </w:p>
        </w:tc>
        <w:tc>
          <w:tcPr>
            <w:tcW w:w="1112" w:type="dxa"/>
          </w:tcPr>
          <w:p w14:paraId="30458E13" w14:textId="77777777" w:rsidR="00370A7E" w:rsidRDefault="00370A7E" w:rsidP="009808D0">
            <w:pPr>
              <w:pStyle w:val="TableParagraph"/>
              <w:spacing w:before="19"/>
              <w:ind w:right="229"/>
              <w:rPr>
                <w:sz w:val="17"/>
              </w:rPr>
            </w:pPr>
            <w:r>
              <w:rPr>
                <w:sz w:val="17"/>
              </w:rPr>
              <w:t>1,3</w:t>
            </w:r>
          </w:p>
        </w:tc>
        <w:tc>
          <w:tcPr>
            <w:tcW w:w="1088" w:type="dxa"/>
          </w:tcPr>
          <w:p w14:paraId="77683C00" w14:textId="77777777" w:rsidR="00370A7E" w:rsidRDefault="00370A7E" w:rsidP="009808D0">
            <w:pPr>
              <w:pStyle w:val="TableParagraph"/>
              <w:spacing w:before="19"/>
              <w:ind w:right="227"/>
              <w:rPr>
                <w:sz w:val="17"/>
              </w:rPr>
            </w:pPr>
            <w:r>
              <w:rPr>
                <w:sz w:val="17"/>
              </w:rPr>
              <w:t>2,6</w:t>
            </w:r>
          </w:p>
        </w:tc>
        <w:tc>
          <w:tcPr>
            <w:tcW w:w="1089" w:type="dxa"/>
          </w:tcPr>
          <w:p w14:paraId="74D2C8AE" w14:textId="77777777" w:rsidR="00370A7E" w:rsidRDefault="00370A7E" w:rsidP="009808D0">
            <w:pPr>
              <w:pStyle w:val="TableParagraph"/>
              <w:spacing w:before="19"/>
              <w:ind w:right="229"/>
              <w:rPr>
                <w:sz w:val="17"/>
              </w:rPr>
            </w:pPr>
            <w:r>
              <w:rPr>
                <w:sz w:val="17"/>
              </w:rPr>
              <w:t>2,4</w:t>
            </w:r>
          </w:p>
        </w:tc>
        <w:tc>
          <w:tcPr>
            <w:tcW w:w="1092" w:type="dxa"/>
          </w:tcPr>
          <w:p w14:paraId="55699EA4" w14:textId="77777777" w:rsidR="00370A7E" w:rsidRDefault="00370A7E" w:rsidP="009808D0">
            <w:pPr>
              <w:pStyle w:val="TableParagraph"/>
              <w:spacing w:before="19"/>
              <w:ind w:right="234"/>
              <w:rPr>
                <w:sz w:val="17"/>
              </w:rPr>
            </w:pPr>
            <w:r>
              <w:rPr>
                <w:sz w:val="17"/>
              </w:rPr>
              <w:t>2,1</w:t>
            </w:r>
          </w:p>
        </w:tc>
      </w:tr>
      <w:tr w:rsidR="00370A7E" w14:paraId="1FDCE404" w14:textId="77777777" w:rsidTr="009808D0">
        <w:trPr>
          <w:trHeight w:val="231"/>
        </w:trPr>
        <w:tc>
          <w:tcPr>
            <w:tcW w:w="2947" w:type="dxa"/>
          </w:tcPr>
          <w:p w14:paraId="71AFFEF4" w14:textId="77777777" w:rsidR="00370A7E" w:rsidRDefault="00370A7E" w:rsidP="009808D0">
            <w:pPr>
              <w:pStyle w:val="TableParagraph"/>
              <w:spacing w:line="204" w:lineRule="exact"/>
              <w:ind w:left="161"/>
              <w:rPr>
                <w:sz w:val="17"/>
              </w:rPr>
            </w:pPr>
            <w:proofErr w:type="spellStart"/>
            <w:r>
              <w:rPr>
                <w:sz w:val="17"/>
              </w:rPr>
              <w:t>Državna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potrošnja</w:t>
            </w:r>
            <w:proofErr w:type="spellEnd"/>
          </w:p>
        </w:tc>
        <w:tc>
          <w:tcPr>
            <w:tcW w:w="1118" w:type="dxa"/>
          </w:tcPr>
          <w:p w14:paraId="07D4D0B4" w14:textId="77777777" w:rsidR="00370A7E" w:rsidRDefault="00370A7E" w:rsidP="009808D0">
            <w:pPr>
              <w:pStyle w:val="TableParagraph"/>
              <w:spacing w:line="204" w:lineRule="exact"/>
              <w:ind w:right="203"/>
              <w:rPr>
                <w:sz w:val="17"/>
              </w:rPr>
            </w:pPr>
            <w:r>
              <w:rPr>
                <w:sz w:val="17"/>
              </w:rPr>
              <w:t>3,0</w:t>
            </w:r>
          </w:p>
        </w:tc>
        <w:tc>
          <w:tcPr>
            <w:tcW w:w="1112" w:type="dxa"/>
          </w:tcPr>
          <w:p w14:paraId="0A5738D3" w14:textId="77777777" w:rsidR="00370A7E" w:rsidRDefault="00370A7E" w:rsidP="009808D0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  <w:tc>
          <w:tcPr>
            <w:tcW w:w="1088" w:type="dxa"/>
          </w:tcPr>
          <w:p w14:paraId="4F2BA94E" w14:textId="77777777" w:rsidR="00370A7E" w:rsidRDefault="00370A7E" w:rsidP="009808D0">
            <w:pPr>
              <w:pStyle w:val="TableParagraph"/>
              <w:spacing w:line="204" w:lineRule="exact"/>
              <w:ind w:right="226"/>
              <w:rPr>
                <w:sz w:val="17"/>
              </w:rPr>
            </w:pPr>
            <w:r>
              <w:rPr>
                <w:sz w:val="17"/>
              </w:rPr>
              <w:t>2,8</w:t>
            </w:r>
          </w:p>
        </w:tc>
        <w:tc>
          <w:tcPr>
            <w:tcW w:w="1089" w:type="dxa"/>
          </w:tcPr>
          <w:p w14:paraId="590AE715" w14:textId="77777777" w:rsidR="00370A7E" w:rsidRDefault="00370A7E" w:rsidP="009808D0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2,5</w:t>
            </w:r>
          </w:p>
        </w:tc>
        <w:tc>
          <w:tcPr>
            <w:tcW w:w="1092" w:type="dxa"/>
          </w:tcPr>
          <w:p w14:paraId="124FF0FD" w14:textId="77777777" w:rsidR="00370A7E" w:rsidRDefault="00370A7E" w:rsidP="009808D0">
            <w:pPr>
              <w:pStyle w:val="TableParagraph"/>
              <w:spacing w:line="204" w:lineRule="exact"/>
              <w:ind w:right="234"/>
              <w:rPr>
                <w:sz w:val="17"/>
              </w:rPr>
            </w:pPr>
            <w:r>
              <w:rPr>
                <w:sz w:val="17"/>
              </w:rPr>
              <w:t>2,2</w:t>
            </w:r>
          </w:p>
        </w:tc>
      </w:tr>
      <w:tr w:rsidR="00370A7E" w14:paraId="3A10498B" w14:textId="77777777" w:rsidTr="009808D0">
        <w:trPr>
          <w:trHeight w:val="231"/>
        </w:trPr>
        <w:tc>
          <w:tcPr>
            <w:tcW w:w="2947" w:type="dxa"/>
          </w:tcPr>
          <w:p w14:paraId="78243994" w14:textId="77777777" w:rsidR="00370A7E" w:rsidRDefault="00370A7E" w:rsidP="009808D0">
            <w:pPr>
              <w:pStyle w:val="TableParagraph"/>
              <w:spacing w:line="205" w:lineRule="exact"/>
              <w:ind w:left="161"/>
              <w:rPr>
                <w:sz w:val="17"/>
              </w:rPr>
            </w:pPr>
            <w:r>
              <w:rPr>
                <w:sz w:val="17"/>
              </w:rPr>
              <w:t>Bruto</w:t>
            </w:r>
            <w:r>
              <w:rPr>
                <w:spacing w:val="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investicije</w:t>
            </w:r>
            <w:proofErr w:type="spellEnd"/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fiksni</w:t>
            </w:r>
            <w:proofErr w:type="spellEnd"/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kapital</w:t>
            </w:r>
            <w:proofErr w:type="spellEnd"/>
          </w:p>
        </w:tc>
        <w:tc>
          <w:tcPr>
            <w:tcW w:w="1118" w:type="dxa"/>
          </w:tcPr>
          <w:p w14:paraId="20C1D196" w14:textId="77777777" w:rsidR="00370A7E" w:rsidRDefault="00370A7E" w:rsidP="009808D0">
            <w:pPr>
              <w:pStyle w:val="TableParagraph"/>
              <w:spacing w:line="205" w:lineRule="exact"/>
              <w:ind w:right="203"/>
              <w:rPr>
                <w:sz w:val="17"/>
              </w:rPr>
            </w:pPr>
            <w:r>
              <w:rPr>
                <w:sz w:val="17"/>
              </w:rPr>
              <w:t>5,8</w:t>
            </w:r>
          </w:p>
        </w:tc>
        <w:tc>
          <w:tcPr>
            <w:tcW w:w="1112" w:type="dxa"/>
          </w:tcPr>
          <w:p w14:paraId="469233D8" w14:textId="77777777" w:rsidR="00370A7E" w:rsidRDefault="00370A7E" w:rsidP="009808D0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4,6</w:t>
            </w:r>
          </w:p>
        </w:tc>
        <w:tc>
          <w:tcPr>
            <w:tcW w:w="1088" w:type="dxa"/>
          </w:tcPr>
          <w:p w14:paraId="71DBC2D4" w14:textId="77777777" w:rsidR="00370A7E" w:rsidRDefault="00370A7E" w:rsidP="009808D0">
            <w:pPr>
              <w:pStyle w:val="TableParagraph"/>
              <w:spacing w:line="205" w:lineRule="exact"/>
              <w:ind w:right="226"/>
              <w:rPr>
                <w:sz w:val="17"/>
              </w:rPr>
            </w:pPr>
            <w:r>
              <w:rPr>
                <w:sz w:val="17"/>
              </w:rPr>
              <w:t>3,7</w:t>
            </w:r>
          </w:p>
        </w:tc>
        <w:tc>
          <w:tcPr>
            <w:tcW w:w="1089" w:type="dxa"/>
          </w:tcPr>
          <w:p w14:paraId="16CE254C" w14:textId="77777777" w:rsidR="00370A7E" w:rsidRDefault="00370A7E" w:rsidP="009808D0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  <w:tc>
          <w:tcPr>
            <w:tcW w:w="1092" w:type="dxa"/>
          </w:tcPr>
          <w:p w14:paraId="7D7985D5" w14:textId="77777777" w:rsidR="00370A7E" w:rsidRDefault="00370A7E" w:rsidP="009808D0">
            <w:pPr>
              <w:pStyle w:val="TableParagraph"/>
              <w:spacing w:line="205" w:lineRule="exact"/>
              <w:ind w:right="234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</w:tr>
      <w:tr w:rsidR="00370A7E" w14:paraId="010EFC7B" w14:textId="77777777" w:rsidTr="009808D0">
        <w:trPr>
          <w:trHeight w:val="231"/>
        </w:trPr>
        <w:tc>
          <w:tcPr>
            <w:tcW w:w="2947" w:type="dxa"/>
          </w:tcPr>
          <w:p w14:paraId="1DE23B6E" w14:textId="77777777" w:rsidR="00370A7E" w:rsidRDefault="00370A7E" w:rsidP="009808D0">
            <w:pPr>
              <w:pStyle w:val="TableParagraph"/>
              <w:spacing w:line="204" w:lineRule="exact"/>
              <w:ind w:left="161"/>
              <w:rPr>
                <w:sz w:val="17"/>
              </w:rPr>
            </w:pPr>
            <w:proofErr w:type="spellStart"/>
            <w:r>
              <w:rPr>
                <w:sz w:val="17"/>
              </w:rPr>
              <w:t>Izvoz</w:t>
            </w:r>
            <w:proofErr w:type="spellEnd"/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roba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pacing w:val="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usluga</w:t>
            </w:r>
            <w:proofErr w:type="spellEnd"/>
          </w:p>
        </w:tc>
        <w:tc>
          <w:tcPr>
            <w:tcW w:w="1118" w:type="dxa"/>
          </w:tcPr>
          <w:p w14:paraId="0B0EADF3" w14:textId="77777777" w:rsidR="00370A7E" w:rsidRDefault="00370A7E" w:rsidP="009808D0">
            <w:pPr>
              <w:pStyle w:val="TableParagraph"/>
              <w:spacing w:line="204" w:lineRule="exact"/>
              <w:ind w:right="203"/>
              <w:rPr>
                <w:sz w:val="17"/>
              </w:rPr>
            </w:pPr>
            <w:r>
              <w:rPr>
                <w:sz w:val="17"/>
              </w:rPr>
              <w:t>25,4</w:t>
            </w:r>
          </w:p>
        </w:tc>
        <w:tc>
          <w:tcPr>
            <w:tcW w:w="1112" w:type="dxa"/>
          </w:tcPr>
          <w:p w14:paraId="4D340597" w14:textId="77777777" w:rsidR="00370A7E" w:rsidRDefault="00370A7E" w:rsidP="009808D0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2,7</w:t>
            </w:r>
          </w:p>
        </w:tc>
        <w:tc>
          <w:tcPr>
            <w:tcW w:w="1088" w:type="dxa"/>
          </w:tcPr>
          <w:p w14:paraId="5FC7422D" w14:textId="77777777" w:rsidR="00370A7E" w:rsidRDefault="00370A7E" w:rsidP="009808D0">
            <w:pPr>
              <w:pStyle w:val="TableParagraph"/>
              <w:spacing w:line="204" w:lineRule="exact"/>
              <w:ind w:right="226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  <w:tc>
          <w:tcPr>
            <w:tcW w:w="1089" w:type="dxa"/>
          </w:tcPr>
          <w:p w14:paraId="7A42ADC2" w14:textId="77777777" w:rsidR="00370A7E" w:rsidRDefault="00370A7E" w:rsidP="009808D0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3,0</w:t>
            </w:r>
          </w:p>
        </w:tc>
        <w:tc>
          <w:tcPr>
            <w:tcW w:w="1092" w:type="dxa"/>
          </w:tcPr>
          <w:p w14:paraId="6B10DD84" w14:textId="77777777" w:rsidR="00370A7E" w:rsidRDefault="00370A7E" w:rsidP="009808D0">
            <w:pPr>
              <w:pStyle w:val="TableParagraph"/>
              <w:spacing w:line="204" w:lineRule="exact"/>
              <w:ind w:right="234"/>
              <w:rPr>
                <w:sz w:val="17"/>
              </w:rPr>
            </w:pPr>
            <w:r>
              <w:rPr>
                <w:sz w:val="17"/>
              </w:rPr>
              <w:t>2,7</w:t>
            </w:r>
          </w:p>
        </w:tc>
      </w:tr>
      <w:tr w:rsidR="00370A7E" w14:paraId="1D5F96EE" w14:textId="77777777" w:rsidTr="009808D0">
        <w:trPr>
          <w:trHeight w:val="231"/>
        </w:trPr>
        <w:tc>
          <w:tcPr>
            <w:tcW w:w="2947" w:type="dxa"/>
          </w:tcPr>
          <w:p w14:paraId="36F8A0F9" w14:textId="77777777" w:rsidR="00370A7E" w:rsidRDefault="00370A7E" w:rsidP="009808D0">
            <w:pPr>
              <w:pStyle w:val="TableParagraph"/>
              <w:spacing w:line="205" w:lineRule="exact"/>
              <w:ind w:left="335"/>
              <w:rPr>
                <w:sz w:val="17"/>
              </w:rPr>
            </w:pPr>
            <w:proofErr w:type="spellStart"/>
            <w:r>
              <w:rPr>
                <w:sz w:val="17"/>
              </w:rPr>
              <w:t>Izvoz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roba</w:t>
            </w:r>
            <w:proofErr w:type="spellEnd"/>
          </w:p>
        </w:tc>
        <w:tc>
          <w:tcPr>
            <w:tcW w:w="1118" w:type="dxa"/>
          </w:tcPr>
          <w:p w14:paraId="7B444353" w14:textId="77777777" w:rsidR="00370A7E" w:rsidRDefault="00370A7E" w:rsidP="009808D0">
            <w:pPr>
              <w:pStyle w:val="TableParagraph"/>
              <w:spacing w:line="205" w:lineRule="exact"/>
              <w:ind w:right="203"/>
              <w:rPr>
                <w:sz w:val="17"/>
              </w:rPr>
            </w:pPr>
            <w:r>
              <w:rPr>
                <w:sz w:val="17"/>
              </w:rPr>
              <w:t>23,6</w:t>
            </w:r>
          </w:p>
        </w:tc>
        <w:tc>
          <w:tcPr>
            <w:tcW w:w="1112" w:type="dxa"/>
          </w:tcPr>
          <w:p w14:paraId="04D7CEC7" w14:textId="77777777" w:rsidR="00370A7E" w:rsidRDefault="00370A7E" w:rsidP="009808D0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2,6</w:t>
            </w:r>
          </w:p>
        </w:tc>
        <w:tc>
          <w:tcPr>
            <w:tcW w:w="1088" w:type="dxa"/>
          </w:tcPr>
          <w:p w14:paraId="66245313" w14:textId="77777777" w:rsidR="00370A7E" w:rsidRDefault="00370A7E" w:rsidP="009808D0">
            <w:pPr>
              <w:pStyle w:val="TableParagraph"/>
              <w:spacing w:line="205" w:lineRule="exact"/>
              <w:ind w:right="226"/>
              <w:rPr>
                <w:sz w:val="17"/>
              </w:rPr>
            </w:pPr>
            <w:r>
              <w:rPr>
                <w:sz w:val="17"/>
              </w:rPr>
              <w:t>3,6</w:t>
            </w:r>
          </w:p>
        </w:tc>
        <w:tc>
          <w:tcPr>
            <w:tcW w:w="1089" w:type="dxa"/>
          </w:tcPr>
          <w:p w14:paraId="1A93F53E" w14:textId="77777777" w:rsidR="00370A7E" w:rsidRDefault="00370A7E" w:rsidP="009808D0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3,7</w:t>
            </w:r>
          </w:p>
        </w:tc>
        <w:tc>
          <w:tcPr>
            <w:tcW w:w="1092" w:type="dxa"/>
          </w:tcPr>
          <w:p w14:paraId="3934103C" w14:textId="77777777" w:rsidR="00370A7E" w:rsidRDefault="00370A7E" w:rsidP="009808D0">
            <w:pPr>
              <w:pStyle w:val="TableParagraph"/>
              <w:spacing w:line="205" w:lineRule="exact"/>
              <w:ind w:right="234"/>
              <w:rPr>
                <w:sz w:val="17"/>
              </w:rPr>
            </w:pPr>
            <w:r>
              <w:rPr>
                <w:sz w:val="17"/>
              </w:rPr>
              <w:t>3,4</w:t>
            </w:r>
          </w:p>
        </w:tc>
      </w:tr>
      <w:tr w:rsidR="00370A7E" w14:paraId="5E9E47A9" w14:textId="77777777" w:rsidTr="009808D0">
        <w:trPr>
          <w:trHeight w:val="231"/>
        </w:trPr>
        <w:tc>
          <w:tcPr>
            <w:tcW w:w="2947" w:type="dxa"/>
          </w:tcPr>
          <w:p w14:paraId="772DE6B9" w14:textId="77777777" w:rsidR="00370A7E" w:rsidRDefault="00370A7E" w:rsidP="009808D0">
            <w:pPr>
              <w:pStyle w:val="TableParagraph"/>
              <w:spacing w:line="204" w:lineRule="exact"/>
              <w:ind w:left="335"/>
              <w:rPr>
                <w:sz w:val="17"/>
              </w:rPr>
            </w:pPr>
            <w:proofErr w:type="spellStart"/>
            <w:r>
              <w:rPr>
                <w:sz w:val="17"/>
              </w:rPr>
              <w:t>Izvoz</w:t>
            </w:r>
            <w:proofErr w:type="spellEnd"/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usluga</w:t>
            </w:r>
            <w:proofErr w:type="spellEnd"/>
          </w:p>
        </w:tc>
        <w:tc>
          <w:tcPr>
            <w:tcW w:w="1118" w:type="dxa"/>
          </w:tcPr>
          <w:p w14:paraId="36F9453D" w14:textId="77777777" w:rsidR="00370A7E" w:rsidRDefault="00370A7E" w:rsidP="009808D0">
            <w:pPr>
              <w:pStyle w:val="TableParagraph"/>
              <w:spacing w:line="204" w:lineRule="exact"/>
              <w:ind w:right="203"/>
              <w:rPr>
                <w:sz w:val="17"/>
              </w:rPr>
            </w:pPr>
            <w:r>
              <w:rPr>
                <w:sz w:val="17"/>
              </w:rPr>
              <w:t>27,3</w:t>
            </w:r>
          </w:p>
        </w:tc>
        <w:tc>
          <w:tcPr>
            <w:tcW w:w="1112" w:type="dxa"/>
          </w:tcPr>
          <w:p w14:paraId="13E1FCB8" w14:textId="77777777" w:rsidR="00370A7E" w:rsidRDefault="00370A7E" w:rsidP="009808D0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  <w:tc>
          <w:tcPr>
            <w:tcW w:w="1088" w:type="dxa"/>
          </w:tcPr>
          <w:p w14:paraId="5FA8E43A" w14:textId="77777777" w:rsidR="00370A7E" w:rsidRDefault="00370A7E" w:rsidP="009808D0">
            <w:pPr>
              <w:pStyle w:val="TableParagraph"/>
              <w:spacing w:line="204" w:lineRule="exact"/>
              <w:ind w:right="226"/>
              <w:rPr>
                <w:sz w:val="17"/>
              </w:rPr>
            </w:pPr>
            <w:r>
              <w:rPr>
                <w:sz w:val="17"/>
              </w:rPr>
              <w:t>2,2</w:t>
            </w:r>
          </w:p>
        </w:tc>
        <w:tc>
          <w:tcPr>
            <w:tcW w:w="1089" w:type="dxa"/>
          </w:tcPr>
          <w:p w14:paraId="6D48668D" w14:textId="77777777" w:rsidR="00370A7E" w:rsidRDefault="00370A7E" w:rsidP="009808D0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2,3</w:t>
            </w:r>
          </w:p>
        </w:tc>
        <w:tc>
          <w:tcPr>
            <w:tcW w:w="1092" w:type="dxa"/>
          </w:tcPr>
          <w:p w14:paraId="0D931521" w14:textId="77777777" w:rsidR="00370A7E" w:rsidRDefault="00370A7E" w:rsidP="009808D0">
            <w:pPr>
              <w:pStyle w:val="TableParagraph"/>
              <w:spacing w:line="204" w:lineRule="exact"/>
              <w:ind w:right="234"/>
              <w:rPr>
                <w:sz w:val="17"/>
              </w:rPr>
            </w:pPr>
            <w:r>
              <w:rPr>
                <w:sz w:val="17"/>
              </w:rPr>
              <w:t>2,0</w:t>
            </w:r>
          </w:p>
        </w:tc>
      </w:tr>
      <w:tr w:rsidR="00370A7E" w14:paraId="76C6544E" w14:textId="77777777" w:rsidTr="009808D0">
        <w:trPr>
          <w:trHeight w:val="231"/>
        </w:trPr>
        <w:tc>
          <w:tcPr>
            <w:tcW w:w="2947" w:type="dxa"/>
          </w:tcPr>
          <w:p w14:paraId="793012D4" w14:textId="77777777" w:rsidR="00370A7E" w:rsidRDefault="00370A7E" w:rsidP="009808D0">
            <w:pPr>
              <w:pStyle w:val="TableParagraph"/>
              <w:spacing w:line="205" w:lineRule="exact"/>
              <w:ind w:left="161"/>
              <w:rPr>
                <w:sz w:val="17"/>
              </w:rPr>
            </w:pPr>
            <w:proofErr w:type="spellStart"/>
            <w:r>
              <w:rPr>
                <w:sz w:val="17"/>
              </w:rPr>
              <w:t>Uvoz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roba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pacing w:val="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usluga</w:t>
            </w:r>
            <w:proofErr w:type="spellEnd"/>
          </w:p>
        </w:tc>
        <w:tc>
          <w:tcPr>
            <w:tcW w:w="1118" w:type="dxa"/>
          </w:tcPr>
          <w:p w14:paraId="444F598F" w14:textId="77777777" w:rsidR="00370A7E" w:rsidRDefault="00370A7E" w:rsidP="009808D0">
            <w:pPr>
              <w:pStyle w:val="TableParagraph"/>
              <w:spacing w:line="205" w:lineRule="exact"/>
              <w:ind w:right="203"/>
              <w:rPr>
                <w:sz w:val="17"/>
              </w:rPr>
            </w:pPr>
            <w:r>
              <w:rPr>
                <w:sz w:val="17"/>
              </w:rPr>
              <w:t>25,0</w:t>
            </w:r>
          </w:p>
        </w:tc>
        <w:tc>
          <w:tcPr>
            <w:tcW w:w="1112" w:type="dxa"/>
          </w:tcPr>
          <w:p w14:paraId="332B973F" w14:textId="77777777" w:rsidR="00370A7E" w:rsidRDefault="00370A7E" w:rsidP="009808D0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2,8</w:t>
            </w:r>
          </w:p>
        </w:tc>
        <w:tc>
          <w:tcPr>
            <w:tcW w:w="1088" w:type="dxa"/>
          </w:tcPr>
          <w:p w14:paraId="2A560CA0" w14:textId="77777777" w:rsidR="00370A7E" w:rsidRDefault="00370A7E" w:rsidP="009808D0">
            <w:pPr>
              <w:pStyle w:val="TableParagraph"/>
              <w:spacing w:line="205" w:lineRule="exact"/>
              <w:ind w:right="226"/>
              <w:rPr>
                <w:sz w:val="17"/>
              </w:rPr>
            </w:pPr>
            <w:r>
              <w:rPr>
                <w:sz w:val="17"/>
              </w:rPr>
              <w:t>3,0</w:t>
            </w:r>
          </w:p>
        </w:tc>
        <w:tc>
          <w:tcPr>
            <w:tcW w:w="1089" w:type="dxa"/>
          </w:tcPr>
          <w:p w14:paraId="422F2D91" w14:textId="77777777" w:rsidR="00370A7E" w:rsidRDefault="00370A7E" w:rsidP="009808D0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  <w:tc>
          <w:tcPr>
            <w:tcW w:w="1092" w:type="dxa"/>
          </w:tcPr>
          <w:p w14:paraId="26F3EC8B" w14:textId="77777777" w:rsidR="00370A7E" w:rsidRDefault="00370A7E" w:rsidP="009808D0">
            <w:pPr>
              <w:pStyle w:val="TableParagraph"/>
              <w:spacing w:line="205" w:lineRule="exact"/>
              <w:ind w:right="234"/>
              <w:rPr>
                <w:sz w:val="17"/>
              </w:rPr>
            </w:pPr>
            <w:r>
              <w:rPr>
                <w:sz w:val="17"/>
              </w:rPr>
              <w:t>2,6</w:t>
            </w:r>
          </w:p>
        </w:tc>
      </w:tr>
      <w:tr w:rsidR="00370A7E" w14:paraId="169F797A" w14:textId="77777777" w:rsidTr="009808D0">
        <w:trPr>
          <w:trHeight w:val="230"/>
        </w:trPr>
        <w:tc>
          <w:tcPr>
            <w:tcW w:w="2947" w:type="dxa"/>
          </w:tcPr>
          <w:p w14:paraId="319D1CF0" w14:textId="77777777" w:rsidR="00370A7E" w:rsidRDefault="00370A7E" w:rsidP="009808D0">
            <w:pPr>
              <w:pStyle w:val="TableParagraph"/>
              <w:spacing w:line="204" w:lineRule="exact"/>
              <w:ind w:left="335"/>
              <w:rPr>
                <w:sz w:val="17"/>
              </w:rPr>
            </w:pPr>
            <w:proofErr w:type="spellStart"/>
            <w:r>
              <w:rPr>
                <w:sz w:val="17"/>
              </w:rPr>
              <w:t>Uvoz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roba</w:t>
            </w:r>
            <w:proofErr w:type="spellEnd"/>
          </w:p>
        </w:tc>
        <w:tc>
          <w:tcPr>
            <w:tcW w:w="1118" w:type="dxa"/>
          </w:tcPr>
          <w:p w14:paraId="736BEC8A" w14:textId="77777777" w:rsidR="00370A7E" w:rsidRDefault="00370A7E" w:rsidP="009808D0">
            <w:pPr>
              <w:pStyle w:val="TableParagraph"/>
              <w:spacing w:line="204" w:lineRule="exact"/>
              <w:ind w:right="203"/>
              <w:rPr>
                <w:sz w:val="17"/>
              </w:rPr>
            </w:pPr>
            <w:r>
              <w:rPr>
                <w:sz w:val="17"/>
              </w:rPr>
              <w:t>26,3</w:t>
            </w:r>
          </w:p>
        </w:tc>
        <w:tc>
          <w:tcPr>
            <w:tcW w:w="1112" w:type="dxa"/>
          </w:tcPr>
          <w:p w14:paraId="0E5E63AB" w14:textId="77777777" w:rsidR="00370A7E" w:rsidRDefault="00370A7E" w:rsidP="009808D0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2,6</w:t>
            </w:r>
          </w:p>
        </w:tc>
        <w:tc>
          <w:tcPr>
            <w:tcW w:w="1088" w:type="dxa"/>
          </w:tcPr>
          <w:p w14:paraId="56226293" w14:textId="77777777" w:rsidR="00370A7E" w:rsidRDefault="00370A7E" w:rsidP="009808D0">
            <w:pPr>
              <w:pStyle w:val="TableParagraph"/>
              <w:spacing w:line="204" w:lineRule="exact"/>
              <w:ind w:right="226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  <w:tc>
          <w:tcPr>
            <w:tcW w:w="1089" w:type="dxa"/>
          </w:tcPr>
          <w:p w14:paraId="002C77E0" w14:textId="77777777" w:rsidR="00370A7E" w:rsidRDefault="00370A7E" w:rsidP="009808D0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  <w:tc>
          <w:tcPr>
            <w:tcW w:w="1092" w:type="dxa"/>
          </w:tcPr>
          <w:p w14:paraId="44FF7104" w14:textId="77777777" w:rsidR="00370A7E" w:rsidRDefault="00370A7E" w:rsidP="009808D0">
            <w:pPr>
              <w:pStyle w:val="TableParagraph"/>
              <w:spacing w:line="204" w:lineRule="exact"/>
              <w:ind w:right="234"/>
              <w:rPr>
                <w:sz w:val="17"/>
              </w:rPr>
            </w:pPr>
            <w:r>
              <w:rPr>
                <w:sz w:val="17"/>
              </w:rPr>
              <w:t>2,5</w:t>
            </w:r>
          </w:p>
        </w:tc>
      </w:tr>
      <w:tr w:rsidR="00370A7E" w14:paraId="445C2CF3" w14:textId="77777777" w:rsidTr="009808D0">
        <w:trPr>
          <w:trHeight w:val="202"/>
        </w:trPr>
        <w:tc>
          <w:tcPr>
            <w:tcW w:w="2947" w:type="dxa"/>
          </w:tcPr>
          <w:p w14:paraId="7F040912" w14:textId="77777777" w:rsidR="00370A7E" w:rsidRDefault="00370A7E" w:rsidP="009808D0">
            <w:pPr>
              <w:pStyle w:val="TableParagraph"/>
              <w:spacing w:line="182" w:lineRule="exact"/>
              <w:ind w:left="335"/>
              <w:rPr>
                <w:sz w:val="17"/>
              </w:rPr>
            </w:pPr>
            <w:proofErr w:type="spellStart"/>
            <w:r>
              <w:rPr>
                <w:sz w:val="17"/>
              </w:rPr>
              <w:t>Uvoz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usluga</w:t>
            </w:r>
            <w:proofErr w:type="spellEnd"/>
          </w:p>
        </w:tc>
        <w:tc>
          <w:tcPr>
            <w:tcW w:w="1118" w:type="dxa"/>
          </w:tcPr>
          <w:p w14:paraId="58DCE9E1" w14:textId="77777777" w:rsidR="00370A7E" w:rsidRDefault="00370A7E" w:rsidP="009808D0">
            <w:pPr>
              <w:pStyle w:val="TableParagraph"/>
              <w:spacing w:line="182" w:lineRule="exact"/>
              <w:ind w:right="203"/>
              <w:rPr>
                <w:sz w:val="17"/>
              </w:rPr>
            </w:pPr>
            <w:r>
              <w:rPr>
                <w:sz w:val="17"/>
              </w:rPr>
              <w:t>17,1</w:t>
            </w:r>
          </w:p>
        </w:tc>
        <w:tc>
          <w:tcPr>
            <w:tcW w:w="1112" w:type="dxa"/>
          </w:tcPr>
          <w:p w14:paraId="2E053DC6" w14:textId="77777777" w:rsidR="00370A7E" w:rsidRDefault="00370A7E" w:rsidP="009808D0">
            <w:pPr>
              <w:pStyle w:val="TableParagraph"/>
              <w:spacing w:line="182" w:lineRule="exact"/>
              <w:ind w:right="228"/>
              <w:rPr>
                <w:sz w:val="17"/>
              </w:rPr>
            </w:pPr>
            <w:r>
              <w:rPr>
                <w:sz w:val="17"/>
              </w:rPr>
              <w:t>4,2</w:t>
            </w:r>
          </w:p>
        </w:tc>
        <w:tc>
          <w:tcPr>
            <w:tcW w:w="1088" w:type="dxa"/>
          </w:tcPr>
          <w:p w14:paraId="1A1F9106" w14:textId="77777777" w:rsidR="00370A7E" w:rsidRDefault="00370A7E" w:rsidP="009808D0">
            <w:pPr>
              <w:pStyle w:val="TableParagraph"/>
              <w:spacing w:line="182" w:lineRule="exact"/>
              <w:ind w:right="226"/>
              <w:rPr>
                <w:sz w:val="17"/>
              </w:rPr>
            </w:pPr>
            <w:r>
              <w:rPr>
                <w:sz w:val="17"/>
              </w:rPr>
              <w:t>4,0</w:t>
            </w:r>
          </w:p>
        </w:tc>
        <w:tc>
          <w:tcPr>
            <w:tcW w:w="1089" w:type="dxa"/>
          </w:tcPr>
          <w:p w14:paraId="480B6095" w14:textId="77777777" w:rsidR="00370A7E" w:rsidRDefault="00370A7E" w:rsidP="009808D0">
            <w:pPr>
              <w:pStyle w:val="TableParagraph"/>
              <w:spacing w:line="182" w:lineRule="exact"/>
              <w:ind w:right="228"/>
              <w:rPr>
                <w:sz w:val="17"/>
              </w:rPr>
            </w:pPr>
            <w:r>
              <w:rPr>
                <w:sz w:val="17"/>
              </w:rPr>
              <w:t>3,2</w:t>
            </w:r>
          </w:p>
        </w:tc>
        <w:tc>
          <w:tcPr>
            <w:tcW w:w="1092" w:type="dxa"/>
          </w:tcPr>
          <w:p w14:paraId="7784FFF4" w14:textId="77777777" w:rsidR="00370A7E" w:rsidRDefault="00370A7E" w:rsidP="009808D0">
            <w:pPr>
              <w:pStyle w:val="TableParagraph"/>
              <w:spacing w:line="182" w:lineRule="exact"/>
              <w:ind w:right="234"/>
              <w:rPr>
                <w:sz w:val="17"/>
              </w:rPr>
            </w:pPr>
            <w:r>
              <w:rPr>
                <w:sz w:val="17"/>
              </w:rPr>
              <w:t>3,0</w:t>
            </w:r>
          </w:p>
        </w:tc>
      </w:tr>
      <w:tr w:rsidR="00370A7E" w14:paraId="6EF2B180" w14:textId="77777777" w:rsidTr="009808D0">
        <w:trPr>
          <w:trHeight w:val="302"/>
        </w:trPr>
        <w:tc>
          <w:tcPr>
            <w:tcW w:w="2947" w:type="dxa"/>
          </w:tcPr>
          <w:p w14:paraId="1F35431E" w14:textId="77777777" w:rsidR="00370A7E" w:rsidRDefault="00370A7E" w:rsidP="009808D0">
            <w:pPr>
              <w:pStyle w:val="TableParagraph"/>
              <w:spacing w:before="97" w:line="185" w:lineRule="exact"/>
              <w:ind w:left="56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Doprinosi</w:t>
            </w:r>
            <w:proofErr w:type="spellEnd"/>
            <w:r>
              <w:rPr>
                <w:b/>
                <w:spacing w:val="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rastu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BDP-a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postotni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bodovi</w:t>
            </w:r>
            <w:proofErr w:type="spellEnd"/>
            <w:r>
              <w:rPr>
                <w:b/>
                <w:sz w:val="17"/>
              </w:rPr>
              <w:t>)</w:t>
            </w:r>
          </w:p>
        </w:tc>
        <w:tc>
          <w:tcPr>
            <w:tcW w:w="1118" w:type="dxa"/>
          </w:tcPr>
          <w:p w14:paraId="595C8B65" w14:textId="77777777" w:rsidR="00370A7E" w:rsidRDefault="00370A7E" w:rsidP="00980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</w:tcPr>
          <w:p w14:paraId="4E5C960E" w14:textId="77777777" w:rsidR="00370A7E" w:rsidRDefault="00370A7E" w:rsidP="00980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50F5744C" w14:textId="77777777" w:rsidR="00370A7E" w:rsidRDefault="00370A7E" w:rsidP="00980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14:paraId="737B5FF2" w14:textId="77777777" w:rsidR="00370A7E" w:rsidRDefault="00370A7E" w:rsidP="00980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</w:tcPr>
          <w:p w14:paraId="5F1CCD09" w14:textId="77777777" w:rsidR="00370A7E" w:rsidRDefault="00370A7E" w:rsidP="009808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0A7E" w14:paraId="14CAEF5A" w14:textId="77777777" w:rsidTr="009808D0">
        <w:trPr>
          <w:trHeight w:val="259"/>
        </w:trPr>
        <w:tc>
          <w:tcPr>
            <w:tcW w:w="2947" w:type="dxa"/>
          </w:tcPr>
          <w:p w14:paraId="6F907688" w14:textId="77777777" w:rsidR="00370A7E" w:rsidRDefault="00370A7E" w:rsidP="009808D0">
            <w:pPr>
              <w:pStyle w:val="TableParagraph"/>
              <w:spacing w:before="25"/>
              <w:ind w:left="161"/>
              <w:rPr>
                <w:sz w:val="17"/>
              </w:rPr>
            </w:pPr>
            <w:proofErr w:type="spellStart"/>
            <w:r>
              <w:rPr>
                <w:sz w:val="17"/>
              </w:rPr>
              <w:t>Domaća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potražnja</w:t>
            </w:r>
            <w:proofErr w:type="spellEnd"/>
          </w:p>
        </w:tc>
        <w:tc>
          <w:tcPr>
            <w:tcW w:w="1118" w:type="dxa"/>
          </w:tcPr>
          <w:p w14:paraId="14202324" w14:textId="77777777" w:rsidR="00370A7E" w:rsidRDefault="00370A7E" w:rsidP="009808D0">
            <w:pPr>
              <w:pStyle w:val="TableParagraph"/>
              <w:spacing w:before="25"/>
              <w:ind w:right="203"/>
              <w:rPr>
                <w:sz w:val="17"/>
              </w:rPr>
            </w:pPr>
            <w:r>
              <w:rPr>
                <w:sz w:val="17"/>
              </w:rPr>
              <w:t>4,8</w:t>
            </w:r>
          </w:p>
        </w:tc>
        <w:tc>
          <w:tcPr>
            <w:tcW w:w="1112" w:type="dxa"/>
          </w:tcPr>
          <w:p w14:paraId="2FF0C690" w14:textId="77777777" w:rsidR="00370A7E" w:rsidRDefault="00370A7E" w:rsidP="009808D0">
            <w:pPr>
              <w:pStyle w:val="TableParagraph"/>
              <w:spacing w:before="25"/>
              <w:ind w:right="228"/>
              <w:rPr>
                <w:sz w:val="17"/>
              </w:rPr>
            </w:pPr>
            <w:r>
              <w:rPr>
                <w:sz w:val="17"/>
              </w:rPr>
              <w:t>2,3</w:t>
            </w:r>
          </w:p>
        </w:tc>
        <w:tc>
          <w:tcPr>
            <w:tcW w:w="1088" w:type="dxa"/>
          </w:tcPr>
          <w:p w14:paraId="42FE5BC7" w14:textId="77777777" w:rsidR="00370A7E" w:rsidRDefault="00370A7E" w:rsidP="009808D0">
            <w:pPr>
              <w:pStyle w:val="TableParagraph"/>
              <w:spacing w:before="25"/>
              <w:ind w:right="226"/>
              <w:rPr>
                <w:sz w:val="17"/>
              </w:rPr>
            </w:pPr>
            <w:r>
              <w:rPr>
                <w:sz w:val="17"/>
              </w:rPr>
              <w:t>2,8</w:t>
            </w:r>
          </w:p>
        </w:tc>
        <w:tc>
          <w:tcPr>
            <w:tcW w:w="1089" w:type="dxa"/>
          </w:tcPr>
          <w:p w14:paraId="3313B67D" w14:textId="77777777" w:rsidR="00370A7E" w:rsidRDefault="00370A7E" w:rsidP="009808D0">
            <w:pPr>
              <w:pStyle w:val="TableParagraph"/>
              <w:spacing w:before="25"/>
              <w:ind w:right="228"/>
              <w:rPr>
                <w:sz w:val="17"/>
              </w:rPr>
            </w:pPr>
            <w:r>
              <w:rPr>
                <w:sz w:val="17"/>
              </w:rPr>
              <w:t>2,6</w:t>
            </w:r>
          </w:p>
        </w:tc>
        <w:tc>
          <w:tcPr>
            <w:tcW w:w="1092" w:type="dxa"/>
          </w:tcPr>
          <w:p w14:paraId="164CA10B" w14:textId="77777777" w:rsidR="00370A7E" w:rsidRDefault="00370A7E" w:rsidP="009808D0">
            <w:pPr>
              <w:pStyle w:val="TableParagraph"/>
              <w:spacing w:before="25"/>
              <w:ind w:right="234"/>
              <w:rPr>
                <w:sz w:val="17"/>
              </w:rPr>
            </w:pPr>
            <w:r>
              <w:rPr>
                <w:sz w:val="17"/>
              </w:rPr>
              <w:t>2,2</w:t>
            </w:r>
          </w:p>
        </w:tc>
      </w:tr>
      <w:tr w:rsidR="00370A7E" w14:paraId="0ADDC8D9" w14:textId="77777777" w:rsidTr="009808D0">
        <w:trPr>
          <w:trHeight w:val="231"/>
        </w:trPr>
        <w:tc>
          <w:tcPr>
            <w:tcW w:w="2947" w:type="dxa"/>
          </w:tcPr>
          <w:p w14:paraId="484D06B1" w14:textId="77777777" w:rsidR="00370A7E" w:rsidRDefault="00370A7E" w:rsidP="009808D0">
            <w:pPr>
              <w:pStyle w:val="TableParagraph"/>
              <w:spacing w:line="205" w:lineRule="exact"/>
              <w:ind w:left="161"/>
              <w:rPr>
                <w:sz w:val="17"/>
              </w:rPr>
            </w:pPr>
            <w:r>
              <w:rPr>
                <w:sz w:val="17"/>
              </w:rPr>
              <w:t>Promjena</w:t>
            </w:r>
            <w:r>
              <w:rPr>
                <w:spacing w:val="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zaliha</w:t>
            </w:r>
            <w:proofErr w:type="spellEnd"/>
          </w:p>
        </w:tc>
        <w:tc>
          <w:tcPr>
            <w:tcW w:w="1118" w:type="dxa"/>
          </w:tcPr>
          <w:p w14:paraId="4E069A94" w14:textId="77777777" w:rsidR="00370A7E" w:rsidRDefault="00370A7E" w:rsidP="009808D0">
            <w:pPr>
              <w:pStyle w:val="TableParagraph"/>
              <w:spacing w:line="205" w:lineRule="exact"/>
              <w:ind w:right="203"/>
              <w:rPr>
                <w:sz w:val="17"/>
              </w:rPr>
            </w:pPr>
            <w:r>
              <w:rPr>
                <w:sz w:val="17"/>
              </w:rPr>
              <w:t>1,7</w:t>
            </w:r>
          </w:p>
        </w:tc>
        <w:tc>
          <w:tcPr>
            <w:tcW w:w="1112" w:type="dxa"/>
          </w:tcPr>
          <w:p w14:paraId="6E64F748" w14:textId="77777777" w:rsidR="00370A7E" w:rsidRDefault="00370A7E" w:rsidP="009808D0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0,1</w:t>
            </w:r>
          </w:p>
        </w:tc>
        <w:tc>
          <w:tcPr>
            <w:tcW w:w="1088" w:type="dxa"/>
          </w:tcPr>
          <w:p w14:paraId="326F64FE" w14:textId="77777777" w:rsidR="00370A7E" w:rsidRDefault="00370A7E" w:rsidP="009808D0">
            <w:pPr>
              <w:pStyle w:val="TableParagraph"/>
              <w:spacing w:line="205" w:lineRule="exact"/>
              <w:ind w:right="226"/>
              <w:rPr>
                <w:sz w:val="17"/>
              </w:rPr>
            </w:pPr>
            <w:r>
              <w:rPr>
                <w:sz w:val="17"/>
              </w:rPr>
              <w:t>0,0</w:t>
            </w:r>
          </w:p>
        </w:tc>
        <w:tc>
          <w:tcPr>
            <w:tcW w:w="1089" w:type="dxa"/>
          </w:tcPr>
          <w:p w14:paraId="76822409" w14:textId="77777777" w:rsidR="00370A7E" w:rsidRDefault="00370A7E" w:rsidP="009808D0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0,0</w:t>
            </w:r>
          </w:p>
        </w:tc>
        <w:tc>
          <w:tcPr>
            <w:tcW w:w="1092" w:type="dxa"/>
          </w:tcPr>
          <w:p w14:paraId="79AD5D36" w14:textId="77777777" w:rsidR="00370A7E" w:rsidRDefault="00370A7E" w:rsidP="009808D0">
            <w:pPr>
              <w:pStyle w:val="TableParagraph"/>
              <w:spacing w:line="205" w:lineRule="exact"/>
              <w:ind w:right="234"/>
              <w:rPr>
                <w:sz w:val="17"/>
              </w:rPr>
            </w:pPr>
            <w:r>
              <w:rPr>
                <w:sz w:val="17"/>
              </w:rPr>
              <w:t>0,0</w:t>
            </w:r>
          </w:p>
        </w:tc>
      </w:tr>
      <w:tr w:rsidR="00370A7E" w14:paraId="7642B421" w14:textId="77777777" w:rsidTr="009808D0">
        <w:trPr>
          <w:trHeight w:val="201"/>
        </w:trPr>
        <w:tc>
          <w:tcPr>
            <w:tcW w:w="2947" w:type="dxa"/>
          </w:tcPr>
          <w:p w14:paraId="796ED36B" w14:textId="77777777" w:rsidR="00370A7E" w:rsidRDefault="00370A7E" w:rsidP="009808D0">
            <w:pPr>
              <w:pStyle w:val="TableParagraph"/>
              <w:spacing w:line="182" w:lineRule="exact"/>
              <w:ind w:left="161"/>
              <w:rPr>
                <w:sz w:val="17"/>
              </w:rPr>
            </w:pPr>
            <w:r>
              <w:rPr>
                <w:sz w:val="17"/>
              </w:rPr>
              <w:t>Neto</w:t>
            </w:r>
            <w:r>
              <w:rPr>
                <w:spacing w:val="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inozemna</w:t>
            </w:r>
            <w:proofErr w:type="spellEnd"/>
            <w:r>
              <w:rPr>
                <w:spacing w:val="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potražnja</w:t>
            </w:r>
            <w:proofErr w:type="spellEnd"/>
          </w:p>
        </w:tc>
        <w:tc>
          <w:tcPr>
            <w:tcW w:w="1118" w:type="dxa"/>
          </w:tcPr>
          <w:p w14:paraId="2BB19E9E" w14:textId="77777777" w:rsidR="00370A7E" w:rsidRDefault="00370A7E" w:rsidP="009808D0">
            <w:pPr>
              <w:pStyle w:val="TableParagraph"/>
              <w:spacing w:line="182" w:lineRule="exact"/>
              <w:ind w:right="203"/>
              <w:rPr>
                <w:sz w:val="17"/>
              </w:rPr>
            </w:pPr>
            <w:r>
              <w:rPr>
                <w:sz w:val="17"/>
              </w:rPr>
              <w:t>-0,2</w:t>
            </w:r>
          </w:p>
        </w:tc>
        <w:tc>
          <w:tcPr>
            <w:tcW w:w="1112" w:type="dxa"/>
          </w:tcPr>
          <w:p w14:paraId="581ED8DB" w14:textId="77777777" w:rsidR="00370A7E" w:rsidRDefault="00370A7E" w:rsidP="009808D0">
            <w:pPr>
              <w:pStyle w:val="TableParagraph"/>
              <w:spacing w:line="182" w:lineRule="exact"/>
              <w:ind w:right="228"/>
              <w:rPr>
                <w:sz w:val="17"/>
              </w:rPr>
            </w:pPr>
            <w:r>
              <w:rPr>
                <w:sz w:val="17"/>
              </w:rPr>
              <w:t>-0,2</w:t>
            </w:r>
          </w:p>
        </w:tc>
        <w:tc>
          <w:tcPr>
            <w:tcW w:w="1088" w:type="dxa"/>
          </w:tcPr>
          <w:p w14:paraId="32723203" w14:textId="77777777" w:rsidR="00370A7E" w:rsidRDefault="00370A7E" w:rsidP="009808D0">
            <w:pPr>
              <w:pStyle w:val="TableParagraph"/>
              <w:spacing w:line="182" w:lineRule="exact"/>
              <w:ind w:right="226"/>
              <w:rPr>
                <w:sz w:val="17"/>
              </w:rPr>
            </w:pPr>
            <w:r>
              <w:rPr>
                <w:sz w:val="17"/>
              </w:rPr>
              <w:t>-0,1</w:t>
            </w:r>
          </w:p>
        </w:tc>
        <w:tc>
          <w:tcPr>
            <w:tcW w:w="1089" w:type="dxa"/>
          </w:tcPr>
          <w:p w14:paraId="61F55882" w14:textId="77777777" w:rsidR="00370A7E" w:rsidRDefault="00370A7E" w:rsidP="009808D0">
            <w:pPr>
              <w:pStyle w:val="TableParagraph"/>
              <w:spacing w:line="182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0,0</w:t>
            </w:r>
          </w:p>
        </w:tc>
        <w:tc>
          <w:tcPr>
            <w:tcW w:w="1092" w:type="dxa"/>
          </w:tcPr>
          <w:p w14:paraId="1C514EA4" w14:textId="77777777" w:rsidR="00370A7E" w:rsidRDefault="00370A7E" w:rsidP="009808D0">
            <w:pPr>
              <w:pStyle w:val="TableParagraph"/>
              <w:spacing w:line="182" w:lineRule="exact"/>
              <w:ind w:right="234"/>
              <w:rPr>
                <w:sz w:val="17"/>
              </w:rPr>
            </w:pPr>
            <w:r>
              <w:rPr>
                <w:sz w:val="17"/>
              </w:rPr>
              <w:t>0,0</w:t>
            </w:r>
          </w:p>
        </w:tc>
      </w:tr>
      <w:tr w:rsidR="00370A7E" w14:paraId="1AC2384B" w14:textId="77777777" w:rsidTr="009808D0">
        <w:trPr>
          <w:trHeight w:val="561"/>
        </w:trPr>
        <w:tc>
          <w:tcPr>
            <w:tcW w:w="2947" w:type="dxa"/>
          </w:tcPr>
          <w:p w14:paraId="78054BEC" w14:textId="77777777" w:rsidR="00370A7E" w:rsidRDefault="00370A7E" w:rsidP="009808D0">
            <w:pPr>
              <w:pStyle w:val="TableParagraph"/>
              <w:spacing w:before="94"/>
              <w:ind w:left="56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Doprinosi</w:t>
            </w:r>
            <w:proofErr w:type="spellEnd"/>
            <w:r>
              <w:rPr>
                <w:b/>
                <w:spacing w:val="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rastu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BDP-a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postotni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bodovi</w:t>
            </w:r>
            <w:proofErr w:type="spellEnd"/>
            <w:r>
              <w:rPr>
                <w:b/>
                <w:sz w:val="17"/>
              </w:rPr>
              <w:t>)</w:t>
            </w:r>
          </w:p>
          <w:p w14:paraId="7E3E9956" w14:textId="77777777" w:rsidR="00370A7E" w:rsidRDefault="00370A7E" w:rsidP="009808D0">
            <w:pPr>
              <w:pStyle w:val="TableParagraph"/>
              <w:spacing w:before="26"/>
              <w:ind w:left="161"/>
              <w:rPr>
                <w:sz w:val="17"/>
              </w:rPr>
            </w:pPr>
            <w:proofErr w:type="spellStart"/>
            <w:r>
              <w:rPr>
                <w:sz w:val="17"/>
              </w:rPr>
              <w:t>Osobna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potrošnja</w:t>
            </w:r>
            <w:r>
              <w:rPr>
                <w:sz w:val="17"/>
                <w:vertAlign w:val="superscript"/>
              </w:rPr>
              <w:t>1</w:t>
            </w:r>
          </w:p>
        </w:tc>
        <w:tc>
          <w:tcPr>
            <w:tcW w:w="1118" w:type="dxa"/>
          </w:tcPr>
          <w:p w14:paraId="428D7B24" w14:textId="77777777" w:rsidR="00370A7E" w:rsidRDefault="00370A7E" w:rsidP="009808D0">
            <w:pPr>
              <w:pStyle w:val="TableParagraph"/>
              <w:rPr>
                <w:i/>
                <w:sz w:val="16"/>
              </w:rPr>
            </w:pPr>
          </w:p>
          <w:p w14:paraId="48B9FA81" w14:textId="77777777" w:rsidR="00370A7E" w:rsidRDefault="00370A7E" w:rsidP="009808D0">
            <w:pPr>
              <w:pStyle w:val="TableParagraph"/>
              <w:spacing w:before="132"/>
              <w:ind w:right="204"/>
              <w:rPr>
                <w:sz w:val="17"/>
              </w:rPr>
            </w:pPr>
            <w:r>
              <w:rPr>
                <w:sz w:val="17"/>
              </w:rPr>
              <w:t>2,9</w:t>
            </w:r>
          </w:p>
        </w:tc>
        <w:tc>
          <w:tcPr>
            <w:tcW w:w="1112" w:type="dxa"/>
          </w:tcPr>
          <w:p w14:paraId="21CC0C51" w14:textId="77777777" w:rsidR="00370A7E" w:rsidRDefault="00370A7E" w:rsidP="009808D0">
            <w:pPr>
              <w:pStyle w:val="TableParagraph"/>
              <w:rPr>
                <w:i/>
                <w:sz w:val="16"/>
              </w:rPr>
            </w:pPr>
          </w:p>
          <w:p w14:paraId="2C015705" w14:textId="77777777" w:rsidR="00370A7E" w:rsidRDefault="00370A7E" w:rsidP="009808D0">
            <w:pPr>
              <w:pStyle w:val="TableParagraph"/>
              <w:spacing w:before="132"/>
              <w:ind w:right="229"/>
              <w:rPr>
                <w:sz w:val="17"/>
              </w:rPr>
            </w:pPr>
            <w:r>
              <w:rPr>
                <w:sz w:val="17"/>
              </w:rPr>
              <w:t>0,7</w:t>
            </w:r>
          </w:p>
        </w:tc>
        <w:tc>
          <w:tcPr>
            <w:tcW w:w="1088" w:type="dxa"/>
          </w:tcPr>
          <w:p w14:paraId="4A741B41" w14:textId="77777777" w:rsidR="00370A7E" w:rsidRDefault="00370A7E" w:rsidP="009808D0">
            <w:pPr>
              <w:pStyle w:val="TableParagraph"/>
              <w:rPr>
                <w:i/>
                <w:sz w:val="16"/>
              </w:rPr>
            </w:pPr>
          </w:p>
          <w:p w14:paraId="63466E8B" w14:textId="77777777" w:rsidR="00370A7E" w:rsidRDefault="00370A7E" w:rsidP="009808D0">
            <w:pPr>
              <w:pStyle w:val="TableParagraph"/>
              <w:spacing w:before="132"/>
              <w:ind w:right="227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1089" w:type="dxa"/>
          </w:tcPr>
          <w:p w14:paraId="200BB3D9" w14:textId="77777777" w:rsidR="00370A7E" w:rsidRDefault="00370A7E" w:rsidP="009808D0">
            <w:pPr>
              <w:pStyle w:val="TableParagraph"/>
              <w:rPr>
                <w:i/>
                <w:sz w:val="16"/>
              </w:rPr>
            </w:pPr>
          </w:p>
          <w:p w14:paraId="7BFF4E24" w14:textId="77777777" w:rsidR="00370A7E" w:rsidRDefault="00370A7E" w:rsidP="009808D0">
            <w:pPr>
              <w:pStyle w:val="TableParagraph"/>
              <w:spacing w:before="132"/>
              <w:ind w:right="229"/>
              <w:rPr>
                <w:sz w:val="17"/>
              </w:rPr>
            </w:pPr>
            <w:r>
              <w:rPr>
                <w:sz w:val="17"/>
              </w:rPr>
              <w:t>1,4</w:t>
            </w:r>
          </w:p>
        </w:tc>
        <w:tc>
          <w:tcPr>
            <w:tcW w:w="1092" w:type="dxa"/>
          </w:tcPr>
          <w:p w14:paraId="0C65B1C5" w14:textId="77777777" w:rsidR="00370A7E" w:rsidRDefault="00370A7E" w:rsidP="009808D0">
            <w:pPr>
              <w:pStyle w:val="TableParagraph"/>
              <w:rPr>
                <w:i/>
                <w:sz w:val="16"/>
              </w:rPr>
            </w:pPr>
          </w:p>
          <w:p w14:paraId="34617B41" w14:textId="77777777" w:rsidR="00370A7E" w:rsidRDefault="00370A7E" w:rsidP="009808D0">
            <w:pPr>
              <w:pStyle w:val="TableParagraph"/>
              <w:spacing w:before="132"/>
              <w:ind w:right="234"/>
              <w:rPr>
                <w:sz w:val="17"/>
              </w:rPr>
            </w:pPr>
            <w:r>
              <w:rPr>
                <w:sz w:val="17"/>
              </w:rPr>
              <w:t>1,2</w:t>
            </w:r>
          </w:p>
        </w:tc>
      </w:tr>
      <w:tr w:rsidR="00370A7E" w14:paraId="630B1674" w14:textId="77777777" w:rsidTr="009808D0">
        <w:trPr>
          <w:trHeight w:val="231"/>
        </w:trPr>
        <w:tc>
          <w:tcPr>
            <w:tcW w:w="2947" w:type="dxa"/>
          </w:tcPr>
          <w:p w14:paraId="27F65A42" w14:textId="77777777" w:rsidR="00370A7E" w:rsidRDefault="00370A7E" w:rsidP="009808D0">
            <w:pPr>
              <w:pStyle w:val="TableParagraph"/>
              <w:spacing w:line="204" w:lineRule="exact"/>
              <w:ind w:left="161"/>
              <w:rPr>
                <w:sz w:val="17"/>
              </w:rPr>
            </w:pPr>
            <w:proofErr w:type="spellStart"/>
            <w:r>
              <w:rPr>
                <w:sz w:val="17"/>
              </w:rPr>
              <w:t>Državna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potrošnja</w:t>
            </w:r>
            <w:proofErr w:type="spellEnd"/>
          </w:p>
        </w:tc>
        <w:tc>
          <w:tcPr>
            <w:tcW w:w="1118" w:type="dxa"/>
          </w:tcPr>
          <w:p w14:paraId="30F1549E" w14:textId="77777777" w:rsidR="00370A7E" w:rsidRDefault="00370A7E" w:rsidP="009808D0">
            <w:pPr>
              <w:pStyle w:val="TableParagraph"/>
              <w:spacing w:line="204" w:lineRule="exact"/>
              <w:ind w:right="203"/>
              <w:rPr>
                <w:sz w:val="17"/>
              </w:rPr>
            </w:pPr>
            <w:r>
              <w:rPr>
                <w:sz w:val="17"/>
              </w:rPr>
              <w:t>0,7</w:t>
            </w:r>
          </w:p>
        </w:tc>
        <w:tc>
          <w:tcPr>
            <w:tcW w:w="1112" w:type="dxa"/>
          </w:tcPr>
          <w:p w14:paraId="3548058B" w14:textId="77777777" w:rsidR="00370A7E" w:rsidRDefault="00370A7E" w:rsidP="009808D0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0,7</w:t>
            </w:r>
          </w:p>
        </w:tc>
        <w:tc>
          <w:tcPr>
            <w:tcW w:w="1088" w:type="dxa"/>
          </w:tcPr>
          <w:p w14:paraId="27097EAA" w14:textId="77777777" w:rsidR="00370A7E" w:rsidRDefault="00370A7E" w:rsidP="009808D0">
            <w:pPr>
              <w:pStyle w:val="TableParagraph"/>
              <w:spacing w:line="204" w:lineRule="exact"/>
              <w:ind w:right="226"/>
              <w:rPr>
                <w:sz w:val="17"/>
              </w:rPr>
            </w:pPr>
            <w:r>
              <w:rPr>
                <w:sz w:val="17"/>
              </w:rPr>
              <w:t>0,6</w:t>
            </w:r>
          </w:p>
        </w:tc>
        <w:tc>
          <w:tcPr>
            <w:tcW w:w="1089" w:type="dxa"/>
          </w:tcPr>
          <w:p w14:paraId="324CF914" w14:textId="77777777" w:rsidR="00370A7E" w:rsidRDefault="00370A7E" w:rsidP="009808D0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92" w:type="dxa"/>
          </w:tcPr>
          <w:p w14:paraId="4DFC4C61" w14:textId="77777777" w:rsidR="00370A7E" w:rsidRDefault="00370A7E" w:rsidP="009808D0">
            <w:pPr>
              <w:pStyle w:val="TableParagraph"/>
              <w:spacing w:line="204" w:lineRule="exact"/>
              <w:ind w:right="23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 w:rsidR="00370A7E" w14:paraId="17A9060F" w14:textId="77777777" w:rsidTr="009808D0">
        <w:trPr>
          <w:trHeight w:val="231"/>
        </w:trPr>
        <w:tc>
          <w:tcPr>
            <w:tcW w:w="2947" w:type="dxa"/>
          </w:tcPr>
          <w:p w14:paraId="3B694B97" w14:textId="77777777" w:rsidR="00370A7E" w:rsidRDefault="00370A7E" w:rsidP="009808D0">
            <w:pPr>
              <w:pStyle w:val="TableParagraph"/>
              <w:spacing w:line="205" w:lineRule="exact"/>
              <w:ind w:left="161"/>
              <w:rPr>
                <w:sz w:val="17"/>
              </w:rPr>
            </w:pPr>
            <w:r>
              <w:rPr>
                <w:sz w:val="17"/>
              </w:rPr>
              <w:t>Bruto</w:t>
            </w:r>
            <w:r>
              <w:rPr>
                <w:spacing w:val="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investicije</w:t>
            </w:r>
            <w:proofErr w:type="spellEnd"/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fiksni</w:t>
            </w:r>
            <w:proofErr w:type="spellEnd"/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kapital</w:t>
            </w:r>
            <w:proofErr w:type="spellEnd"/>
          </w:p>
        </w:tc>
        <w:tc>
          <w:tcPr>
            <w:tcW w:w="1118" w:type="dxa"/>
          </w:tcPr>
          <w:p w14:paraId="5185A577" w14:textId="77777777" w:rsidR="00370A7E" w:rsidRDefault="00370A7E" w:rsidP="009808D0">
            <w:pPr>
              <w:pStyle w:val="TableParagraph"/>
              <w:spacing w:line="205" w:lineRule="exact"/>
              <w:ind w:right="203"/>
              <w:rPr>
                <w:sz w:val="17"/>
              </w:rPr>
            </w:pPr>
            <w:r>
              <w:rPr>
                <w:sz w:val="17"/>
              </w:rPr>
              <w:t>1,2</w:t>
            </w:r>
          </w:p>
        </w:tc>
        <w:tc>
          <w:tcPr>
            <w:tcW w:w="1112" w:type="dxa"/>
          </w:tcPr>
          <w:p w14:paraId="0F299642" w14:textId="77777777" w:rsidR="00370A7E" w:rsidRDefault="00370A7E" w:rsidP="009808D0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0,9</w:t>
            </w:r>
          </w:p>
        </w:tc>
        <w:tc>
          <w:tcPr>
            <w:tcW w:w="1088" w:type="dxa"/>
          </w:tcPr>
          <w:p w14:paraId="49761527" w14:textId="77777777" w:rsidR="00370A7E" w:rsidRDefault="00370A7E" w:rsidP="009808D0">
            <w:pPr>
              <w:pStyle w:val="TableParagraph"/>
              <w:spacing w:line="205" w:lineRule="exact"/>
              <w:ind w:right="226"/>
              <w:rPr>
                <w:sz w:val="17"/>
              </w:rPr>
            </w:pPr>
            <w:r>
              <w:rPr>
                <w:sz w:val="17"/>
              </w:rPr>
              <w:t>0,8</w:t>
            </w:r>
          </w:p>
        </w:tc>
        <w:tc>
          <w:tcPr>
            <w:tcW w:w="1089" w:type="dxa"/>
          </w:tcPr>
          <w:p w14:paraId="52165554" w14:textId="77777777" w:rsidR="00370A7E" w:rsidRDefault="00370A7E" w:rsidP="009808D0">
            <w:pPr>
              <w:pStyle w:val="TableParagraph"/>
              <w:spacing w:line="205" w:lineRule="exact"/>
              <w:ind w:right="228"/>
              <w:rPr>
                <w:sz w:val="17"/>
              </w:rPr>
            </w:pPr>
            <w:r>
              <w:rPr>
                <w:sz w:val="17"/>
              </w:rPr>
              <w:t>0,7</w:t>
            </w:r>
          </w:p>
        </w:tc>
        <w:tc>
          <w:tcPr>
            <w:tcW w:w="1092" w:type="dxa"/>
          </w:tcPr>
          <w:p w14:paraId="3DD46164" w14:textId="77777777" w:rsidR="00370A7E" w:rsidRDefault="00370A7E" w:rsidP="009808D0">
            <w:pPr>
              <w:pStyle w:val="TableParagraph"/>
              <w:spacing w:line="205" w:lineRule="exact"/>
              <w:ind w:right="234"/>
              <w:rPr>
                <w:sz w:val="17"/>
              </w:rPr>
            </w:pPr>
            <w:r>
              <w:rPr>
                <w:sz w:val="17"/>
              </w:rPr>
              <w:t>0,6</w:t>
            </w:r>
          </w:p>
        </w:tc>
      </w:tr>
      <w:tr w:rsidR="00370A7E" w14:paraId="1217695B" w14:textId="77777777" w:rsidTr="009808D0">
        <w:trPr>
          <w:trHeight w:val="231"/>
        </w:trPr>
        <w:tc>
          <w:tcPr>
            <w:tcW w:w="2947" w:type="dxa"/>
          </w:tcPr>
          <w:p w14:paraId="4A5A20ED" w14:textId="77777777" w:rsidR="00370A7E" w:rsidRDefault="00370A7E" w:rsidP="009808D0">
            <w:pPr>
              <w:pStyle w:val="TableParagraph"/>
              <w:spacing w:line="204" w:lineRule="exact"/>
              <w:ind w:left="161"/>
              <w:rPr>
                <w:sz w:val="17"/>
              </w:rPr>
            </w:pPr>
            <w:proofErr w:type="spellStart"/>
            <w:r>
              <w:rPr>
                <w:sz w:val="17"/>
              </w:rPr>
              <w:t>Izvoz</w:t>
            </w:r>
            <w:proofErr w:type="spellEnd"/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roba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pacing w:val="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usluga</w:t>
            </w:r>
            <w:proofErr w:type="spellEnd"/>
          </w:p>
        </w:tc>
        <w:tc>
          <w:tcPr>
            <w:tcW w:w="1118" w:type="dxa"/>
          </w:tcPr>
          <w:p w14:paraId="7EADF5C4" w14:textId="77777777" w:rsidR="00370A7E" w:rsidRDefault="00370A7E" w:rsidP="009808D0">
            <w:pPr>
              <w:pStyle w:val="TableParagraph"/>
              <w:spacing w:line="204" w:lineRule="exact"/>
              <w:ind w:right="203"/>
              <w:rPr>
                <w:sz w:val="17"/>
              </w:rPr>
            </w:pPr>
            <w:r>
              <w:rPr>
                <w:sz w:val="17"/>
              </w:rPr>
              <w:t>13,0</w:t>
            </w:r>
          </w:p>
        </w:tc>
        <w:tc>
          <w:tcPr>
            <w:tcW w:w="1112" w:type="dxa"/>
          </w:tcPr>
          <w:p w14:paraId="72BA5FF4" w14:textId="77777777" w:rsidR="00370A7E" w:rsidRDefault="00370A7E" w:rsidP="009808D0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1,7</w:t>
            </w:r>
          </w:p>
        </w:tc>
        <w:tc>
          <w:tcPr>
            <w:tcW w:w="1088" w:type="dxa"/>
          </w:tcPr>
          <w:p w14:paraId="7300084D" w14:textId="77777777" w:rsidR="00370A7E" w:rsidRDefault="00370A7E" w:rsidP="009808D0">
            <w:pPr>
              <w:pStyle w:val="TableParagraph"/>
              <w:spacing w:line="204" w:lineRule="exact"/>
              <w:ind w:right="226"/>
              <w:rPr>
                <w:sz w:val="17"/>
              </w:rPr>
            </w:pPr>
            <w:r>
              <w:rPr>
                <w:sz w:val="17"/>
              </w:rPr>
              <w:t>1,7</w:t>
            </w:r>
          </w:p>
        </w:tc>
        <w:tc>
          <w:tcPr>
            <w:tcW w:w="1089" w:type="dxa"/>
          </w:tcPr>
          <w:p w14:paraId="634B6B21" w14:textId="77777777" w:rsidR="00370A7E" w:rsidRDefault="00370A7E" w:rsidP="009808D0">
            <w:pPr>
              <w:pStyle w:val="TableParagraph"/>
              <w:spacing w:line="204" w:lineRule="exact"/>
              <w:ind w:right="228"/>
              <w:rPr>
                <w:sz w:val="17"/>
              </w:rPr>
            </w:pPr>
            <w:r>
              <w:rPr>
                <w:sz w:val="17"/>
              </w:rPr>
              <w:t>1,7</w:t>
            </w:r>
          </w:p>
        </w:tc>
        <w:tc>
          <w:tcPr>
            <w:tcW w:w="1092" w:type="dxa"/>
          </w:tcPr>
          <w:p w14:paraId="5F59C640" w14:textId="77777777" w:rsidR="00370A7E" w:rsidRDefault="00370A7E" w:rsidP="009808D0">
            <w:pPr>
              <w:pStyle w:val="TableParagraph"/>
              <w:spacing w:line="204" w:lineRule="exact"/>
              <w:ind w:right="234"/>
              <w:rPr>
                <w:sz w:val="17"/>
              </w:rPr>
            </w:pPr>
            <w:r>
              <w:rPr>
                <w:sz w:val="17"/>
              </w:rPr>
              <w:t>1,6</w:t>
            </w:r>
          </w:p>
        </w:tc>
      </w:tr>
      <w:tr w:rsidR="00370A7E" w14:paraId="72197DB3" w14:textId="77777777" w:rsidTr="009808D0">
        <w:trPr>
          <w:trHeight w:val="197"/>
        </w:trPr>
        <w:tc>
          <w:tcPr>
            <w:tcW w:w="2947" w:type="dxa"/>
            <w:tcBorders>
              <w:bottom w:val="single" w:sz="12" w:space="0" w:color="000000"/>
            </w:tcBorders>
          </w:tcPr>
          <w:p w14:paraId="27319550" w14:textId="77777777" w:rsidR="00370A7E" w:rsidRDefault="00370A7E" w:rsidP="009808D0">
            <w:pPr>
              <w:pStyle w:val="TableParagraph"/>
              <w:spacing w:line="178" w:lineRule="exact"/>
              <w:ind w:left="161"/>
              <w:rPr>
                <w:sz w:val="17"/>
              </w:rPr>
            </w:pPr>
            <w:proofErr w:type="spellStart"/>
            <w:r>
              <w:rPr>
                <w:sz w:val="17"/>
              </w:rPr>
              <w:t>Uvoz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roba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pacing w:val="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usluga</w:t>
            </w:r>
            <w:proofErr w:type="spellEnd"/>
          </w:p>
        </w:tc>
        <w:tc>
          <w:tcPr>
            <w:tcW w:w="1118" w:type="dxa"/>
            <w:tcBorders>
              <w:bottom w:val="single" w:sz="12" w:space="0" w:color="000000"/>
            </w:tcBorders>
          </w:tcPr>
          <w:p w14:paraId="3439DBF4" w14:textId="77777777" w:rsidR="00370A7E" w:rsidRDefault="00370A7E" w:rsidP="009808D0">
            <w:pPr>
              <w:pStyle w:val="TableParagraph"/>
              <w:spacing w:line="178" w:lineRule="exact"/>
              <w:ind w:right="203"/>
              <w:rPr>
                <w:sz w:val="17"/>
              </w:rPr>
            </w:pPr>
            <w:r>
              <w:rPr>
                <w:sz w:val="17"/>
              </w:rPr>
              <w:t>-13,2</w:t>
            </w:r>
          </w:p>
        </w:tc>
        <w:tc>
          <w:tcPr>
            <w:tcW w:w="1112" w:type="dxa"/>
            <w:tcBorders>
              <w:bottom w:val="single" w:sz="12" w:space="0" w:color="000000"/>
            </w:tcBorders>
          </w:tcPr>
          <w:p w14:paraId="2AB7FAD4" w14:textId="77777777" w:rsidR="00370A7E" w:rsidRDefault="00370A7E" w:rsidP="009808D0">
            <w:pPr>
              <w:pStyle w:val="TableParagraph"/>
              <w:spacing w:line="178" w:lineRule="exact"/>
              <w:ind w:right="228"/>
              <w:rPr>
                <w:sz w:val="17"/>
              </w:rPr>
            </w:pPr>
            <w:r>
              <w:rPr>
                <w:sz w:val="17"/>
              </w:rPr>
              <w:t>-1,8</w:t>
            </w:r>
          </w:p>
        </w:tc>
        <w:tc>
          <w:tcPr>
            <w:tcW w:w="1088" w:type="dxa"/>
            <w:tcBorders>
              <w:bottom w:val="single" w:sz="12" w:space="0" w:color="000000"/>
            </w:tcBorders>
          </w:tcPr>
          <w:p w14:paraId="6F1E7306" w14:textId="77777777" w:rsidR="00370A7E" w:rsidRDefault="00370A7E" w:rsidP="009808D0">
            <w:pPr>
              <w:pStyle w:val="TableParagraph"/>
              <w:spacing w:line="178" w:lineRule="exact"/>
              <w:ind w:right="226"/>
              <w:rPr>
                <w:sz w:val="17"/>
              </w:rPr>
            </w:pPr>
            <w:r>
              <w:rPr>
                <w:sz w:val="17"/>
              </w:rPr>
              <w:t>-1,8</w:t>
            </w:r>
          </w:p>
        </w:tc>
        <w:tc>
          <w:tcPr>
            <w:tcW w:w="1089" w:type="dxa"/>
            <w:tcBorders>
              <w:bottom w:val="single" w:sz="12" w:space="0" w:color="000000"/>
            </w:tcBorders>
          </w:tcPr>
          <w:p w14:paraId="7E2FAF7A" w14:textId="77777777" w:rsidR="00370A7E" w:rsidRDefault="00370A7E" w:rsidP="009808D0">
            <w:pPr>
              <w:pStyle w:val="TableParagraph"/>
              <w:spacing w:line="178" w:lineRule="exact"/>
              <w:ind w:right="228"/>
              <w:rPr>
                <w:sz w:val="17"/>
              </w:rPr>
            </w:pPr>
            <w:r>
              <w:rPr>
                <w:sz w:val="17"/>
              </w:rPr>
              <w:t>-1,8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</w:tcPr>
          <w:p w14:paraId="066BD6BB" w14:textId="77777777" w:rsidR="00370A7E" w:rsidRDefault="00370A7E" w:rsidP="009808D0">
            <w:pPr>
              <w:pStyle w:val="TableParagraph"/>
              <w:spacing w:line="178" w:lineRule="exact"/>
              <w:ind w:right="234"/>
              <w:rPr>
                <w:sz w:val="17"/>
              </w:rPr>
            </w:pPr>
            <w:r>
              <w:rPr>
                <w:sz w:val="17"/>
              </w:rPr>
              <w:t>-1,6</w:t>
            </w:r>
          </w:p>
        </w:tc>
      </w:tr>
    </w:tbl>
    <w:p w14:paraId="56F83DF4" w14:textId="77777777" w:rsidR="00370A7E" w:rsidRDefault="00370A7E" w:rsidP="00370A7E">
      <w:pPr>
        <w:spacing w:before="1" w:line="249" w:lineRule="auto"/>
        <w:ind w:left="212" w:right="2975"/>
        <w:rPr>
          <w:i/>
          <w:sz w:val="18"/>
        </w:rPr>
      </w:pPr>
      <w:r>
        <w:rPr>
          <w:i/>
          <w:sz w:val="18"/>
          <w:vertAlign w:val="superscript"/>
        </w:rPr>
        <w:t>1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Uključujući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potrošnju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neprofitnih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ustanova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koje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služe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kućanstvima.</w:t>
      </w:r>
      <w:r>
        <w:rPr>
          <w:i/>
          <w:spacing w:val="-37"/>
          <w:sz w:val="18"/>
        </w:rPr>
        <w:t xml:space="preserve"> </w:t>
      </w:r>
      <w:r>
        <w:rPr>
          <w:i/>
          <w:w w:val="105"/>
          <w:sz w:val="18"/>
        </w:rPr>
        <w:t>Napomena: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Podaci za 2022. su preliminarni.</w:t>
      </w:r>
    </w:p>
    <w:p w14:paraId="0C6D9249" w14:textId="77777777" w:rsidR="00370A7E" w:rsidRDefault="00370A7E" w:rsidP="00370A7E">
      <w:pPr>
        <w:spacing w:before="1"/>
        <w:ind w:left="212"/>
        <w:rPr>
          <w:i/>
          <w:w w:val="105"/>
          <w:sz w:val="18"/>
        </w:rPr>
      </w:pPr>
      <w:bookmarkStart w:id="0" w:name="_Hlk147139189"/>
      <w:r>
        <w:rPr>
          <w:i/>
          <w:w w:val="105"/>
          <w:sz w:val="18"/>
        </w:rPr>
        <w:t>Izvor: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Državni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zavod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za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statistiku,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Ministarstvo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financija</w:t>
      </w:r>
    </w:p>
    <w:bookmarkEnd w:id="0"/>
    <w:p w14:paraId="7073EB25" w14:textId="208B0FCF" w:rsidR="005164F3" w:rsidRDefault="00DD5CE9" w:rsidP="00370A7E">
      <w:pPr>
        <w:spacing w:before="1"/>
        <w:ind w:left="212"/>
        <w:rPr>
          <w:i/>
          <w:w w:val="105"/>
          <w:sz w:val="18"/>
        </w:rPr>
      </w:pPr>
      <w:r>
        <w:rPr>
          <w:i/>
          <w:noProof/>
          <w:w w:val="105"/>
          <w:sz w:val="18"/>
          <w14:ligatures w14:val="standardContextual"/>
        </w:rPr>
        <w:lastRenderedPageBreak/>
        <w:drawing>
          <wp:inline distT="0" distB="0" distL="0" distR="0" wp14:anchorId="11EA4920" wp14:editId="76216842">
            <wp:extent cx="5760720" cy="4320540"/>
            <wp:effectExtent l="0" t="0" r="0" b="3810"/>
            <wp:docPr id="2322971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97191" name="Slika 2322971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63163" w14:textId="77777777" w:rsidR="00C06A4F" w:rsidRDefault="00C06A4F" w:rsidP="00C06A4F">
      <w:pPr>
        <w:spacing w:before="1"/>
        <w:ind w:left="212"/>
        <w:rPr>
          <w:i/>
          <w:w w:val="105"/>
          <w:sz w:val="18"/>
        </w:rPr>
      </w:pPr>
      <w:r>
        <w:rPr>
          <w:i/>
          <w:w w:val="105"/>
          <w:sz w:val="18"/>
        </w:rPr>
        <w:t>Izvor: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Državni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zavod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za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statistiku,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Ministarstvo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financija</w:t>
      </w:r>
    </w:p>
    <w:p w14:paraId="360A3FD3" w14:textId="77777777" w:rsidR="00DD5CE9" w:rsidRDefault="00DD5CE9" w:rsidP="00370A7E">
      <w:pPr>
        <w:spacing w:before="1"/>
        <w:ind w:left="212"/>
      </w:pPr>
    </w:p>
    <w:p w14:paraId="143E1B98" w14:textId="77777777" w:rsidR="00DD5CE9" w:rsidRDefault="00DD5CE9" w:rsidP="00370A7E">
      <w:pPr>
        <w:spacing w:before="1"/>
        <w:ind w:left="212"/>
        <w:rPr>
          <w:i/>
          <w:sz w:val="18"/>
        </w:rPr>
      </w:pPr>
    </w:p>
    <w:p w14:paraId="668DA281" w14:textId="77777777" w:rsidR="00054E26" w:rsidRPr="002D78D5" w:rsidRDefault="00054E26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PLANIRANIH POLITIKA GRADA</w:t>
      </w:r>
    </w:p>
    <w:p w14:paraId="62A0198F" w14:textId="77777777" w:rsidR="00054E26" w:rsidRPr="002D78D5" w:rsidRDefault="00054E26" w:rsidP="00054E26">
      <w:pPr>
        <w:spacing w:after="0" w:line="240" w:lineRule="auto"/>
        <w:ind w:left="15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0175F7" w14:textId="77777777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Osnovni ciljevi u provođenju politike Grada Čazme u ovom narednom razdoblju biti će ulaganje napora za održavanje postignutog životnog standarda na svim područjima, koliko god to opće prilike budu dozvoljavale, a naročito: </w:t>
      </w:r>
    </w:p>
    <w:p w14:paraId="5A17579A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održivi gospodarski razvoj i poticanje zapošljavanja, odnosno zadržavanje postignute razine zaposlenosti i životnog standarda;</w:t>
      </w:r>
    </w:p>
    <w:p w14:paraId="4C8884BD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trajno poticanje malog i srednjeg poduzetništva i razvoj poslovnih zona;</w:t>
      </w:r>
    </w:p>
    <w:p w14:paraId="2C591FAD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postignute kvalitete sveukupne komunalne infrastrukture i gradnja nove;</w:t>
      </w:r>
    </w:p>
    <w:p w14:paraId="72210197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briga o socijalnoj sigurnosti;</w:t>
      </w:r>
    </w:p>
    <w:p w14:paraId="77470493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promoviranje i poticanje kulturnih događanja, te očuvanje i obnova gradske i spomeničke baštine;</w:t>
      </w:r>
    </w:p>
    <w:p w14:paraId="7A876C04" w14:textId="6B9CCE86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promoviranje i unapređivanje prirodne baštine</w:t>
      </w:r>
      <w:r w:rsidR="00D46274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847D5F5" w14:textId="79ABD35A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 zelenih tehnologija</w:t>
      </w:r>
      <w:r w:rsidR="00D46274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36E7DF43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 turizma i ostalih djelatnosti s tim u vezi;</w:t>
      </w:r>
    </w:p>
    <w:p w14:paraId="786CDD36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funkcionalnost i učinkovitost gradske uprave;</w:t>
      </w:r>
    </w:p>
    <w:p w14:paraId="036F5296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informatizacija te</w:t>
      </w:r>
    </w:p>
    <w:p w14:paraId="60C0029B" w14:textId="77777777" w:rsidR="00054E26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upravljanje imovinom.</w:t>
      </w:r>
    </w:p>
    <w:p w14:paraId="4130E467" w14:textId="77777777" w:rsidR="00054E26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B71312" w14:textId="77777777" w:rsidR="00054E26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63503E" w14:textId="77777777" w:rsidR="00054E26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6860B9" w14:textId="77777777" w:rsidR="00DD13D9" w:rsidRPr="002D78D5" w:rsidRDefault="00DD13D9" w:rsidP="00DD1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ODREDNICE PRIHODA I RASHODA PRORAČUNA JEDINICE LOKALNE I</w:t>
      </w:r>
    </w:p>
    <w:p w14:paraId="46537A04" w14:textId="77777777" w:rsidR="00DD13D9" w:rsidRPr="002D78D5" w:rsidRDefault="00DD13D9" w:rsidP="00DD1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PODRUČNE (REGIONALNE) SAMOUPRAVE</w:t>
      </w:r>
    </w:p>
    <w:p w14:paraId="0B7CB902" w14:textId="77777777" w:rsidR="00DD13D9" w:rsidRPr="002D78D5" w:rsidRDefault="00DD13D9" w:rsidP="00DD1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D23521" w14:textId="77777777" w:rsidR="00DD13D9" w:rsidRPr="002D78D5" w:rsidRDefault="00DD13D9" w:rsidP="00DD1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</w:p>
    <w:p w14:paraId="7D4CFDB0" w14:textId="77777777" w:rsidR="00DD13D9" w:rsidRPr="002D78D5" w:rsidRDefault="00DD13D9" w:rsidP="00DD1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Jedinice lokalne i područne (regionalne) samouprave pri izradi prijedloga proračuna izrađuju plan rashoda uzimajući u obzir vlastite gospodarske i društvene specifičnosti pridržavajući se odredbi Zakona o proračunu i Zakona o fiskalnoj odgovornosti. </w:t>
      </w:r>
    </w:p>
    <w:p w14:paraId="0DAD4CD1" w14:textId="77777777" w:rsidR="00DD13D9" w:rsidRPr="002D78D5" w:rsidRDefault="00DD13D9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09FE90" w14:textId="56B8C9F6" w:rsidR="00054E26" w:rsidRDefault="00DD13D9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Stoga, treba naglasiti da je 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čelnik jedinice lokalne i područne i (regionalne)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samouprave,  i proračunskog i izvanproračunskog korisnika odgovoran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osim za zakonito planiranje i izvršavanje proračuna odnosno financijskog plana, i 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svrhovitost, učinkovitost i za ekonomično raspolaganje proračunski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sredstvima proračuna odnosno financijskog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plana.</w:t>
      </w:r>
    </w:p>
    <w:p w14:paraId="0B03AA73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C75CCE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73390F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0D6BE8E" w14:textId="661638A3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A3A72">
        <w:rPr>
          <w:noProof/>
        </w:rPr>
        <w:drawing>
          <wp:inline distT="0" distB="0" distL="0" distR="0" wp14:anchorId="4805C250" wp14:editId="0073FEFA">
            <wp:extent cx="5760720" cy="2781935"/>
            <wp:effectExtent l="0" t="0" r="0" b="0"/>
            <wp:docPr id="74124256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9130C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2C54783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89EF7A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A8CFED0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57820B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6C6547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C886F6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1197E71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1A39388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BFA46F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1996D5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3ADABA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ED1633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DC15B83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40BF4C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BEE2D9" w14:textId="77777777" w:rsidR="007A3A72" w:rsidRDefault="007A3A72" w:rsidP="00DD1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143804" w14:textId="77777777" w:rsidR="0020202B" w:rsidRDefault="0020202B" w:rsidP="0020202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  <w14:ligatures w14:val="standardContextual"/>
        </w:rPr>
      </w:pPr>
      <w:r>
        <w:rPr>
          <w:rFonts w:ascii="CIDFont+F3" w:hAnsi="CIDFont+F3" w:cs="CIDFont+F3"/>
          <w:sz w:val="23"/>
          <w:szCs w:val="23"/>
          <w14:ligatures w14:val="standardContextual"/>
        </w:rPr>
        <w:lastRenderedPageBreak/>
        <w:t>Proračun jedinica lokalne i područne (regionalne) samouprave sastoji se od plana za</w:t>
      </w:r>
    </w:p>
    <w:p w14:paraId="4BB5CA18" w14:textId="77777777" w:rsidR="0020202B" w:rsidRDefault="0020202B" w:rsidP="0020202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  <w14:ligatures w14:val="standardContextual"/>
        </w:rPr>
      </w:pPr>
      <w:r>
        <w:rPr>
          <w:rFonts w:ascii="CIDFont+F3" w:hAnsi="CIDFont+F3" w:cs="CIDFont+F3"/>
          <w:sz w:val="23"/>
          <w:szCs w:val="23"/>
          <w14:ligatures w14:val="standardContextual"/>
        </w:rPr>
        <w:t>proračunsku godinu i projekcija za sljedeće dvije godine.</w:t>
      </w:r>
    </w:p>
    <w:p w14:paraId="3DD5DCCB" w14:textId="1816CFFD" w:rsidR="00DD5CE9" w:rsidRDefault="0020202B" w:rsidP="00202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CIDFont+F3" w:hAnsi="CIDFont+F3" w:cs="CIDFont+F3"/>
          <w:sz w:val="23"/>
          <w:szCs w:val="23"/>
          <w14:ligatures w14:val="standardContextual"/>
        </w:rPr>
        <w:t xml:space="preserve">Detaljni prikaz sadržaja proračuna dan je u </w:t>
      </w:r>
      <w:r>
        <w:rPr>
          <w:rFonts w:ascii="CIDFont+F7" w:hAnsi="CIDFont+F7" w:cs="CIDFont+F7"/>
          <w:sz w:val="23"/>
          <w:szCs w:val="23"/>
          <w14:ligatures w14:val="standardContextual"/>
        </w:rPr>
        <w:t>Tablici 1</w:t>
      </w:r>
      <w:r>
        <w:rPr>
          <w:rFonts w:ascii="CIDFont+F3" w:hAnsi="CIDFont+F3" w:cs="CIDFont+F3"/>
          <w:sz w:val="23"/>
          <w:szCs w:val="23"/>
          <w14:ligatures w14:val="standardContextual"/>
        </w:rPr>
        <w:t>.</w:t>
      </w:r>
    </w:p>
    <w:p w14:paraId="774A3D5F" w14:textId="1B105B4D" w:rsidR="00DD5CE9" w:rsidRDefault="0020202B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14:ligatures w14:val="standardContextual"/>
        </w:rPr>
        <w:drawing>
          <wp:inline distT="0" distB="0" distL="0" distR="0" wp14:anchorId="5D8B53A4" wp14:editId="634FE908">
            <wp:extent cx="4865427" cy="8147050"/>
            <wp:effectExtent l="0" t="0" r="0" b="6350"/>
            <wp:docPr id="193454384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43841" name=""/>
                    <pic:cNvPicPr/>
                  </pic:nvPicPr>
                  <pic:blipFill rotWithShape="1">
                    <a:blip r:embed="rId11"/>
                    <a:srcRect r="15821"/>
                    <a:stretch/>
                  </pic:blipFill>
                  <pic:spPr bwMode="auto">
                    <a:xfrm>
                      <a:off x="0" y="0"/>
                      <a:ext cx="4865427" cy="814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B11F12" w14:textId="77777777" w:rsidR="00054E26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01D080" w14:textId="77777777" w:rsidR="00054E26" w:rsidRPr="002D78D5" w:rsidRDefault="00054E26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OKVIRNI PRIJEDLOG OPSEGA FINANCIJSKOG PLANA KORISNIKA ZA</w:t>
      </w:r>
    </w:p>
    <w:p w14:paraId="49A8ABF8" w14:textId="10481291" w:rsidR="00054E26" w:rsidRPr="002D78D5" w:rsidRDefault="00054E26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RAZDOBLJE 202</w:t>
      </w:r>
      <w:r w:rsidR="009C2B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– 202</w:t>
      </w:r>
      <w:r w:rsidR="009C2B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6DA3178" w14:textId="77777777" w:rsidR="00054E26" w:rsidRPr="002D78D5" w:rsidRDefault="00054E26" w:rsidP="00054E26">
      <w:pPr>
        <w:spacing w:after="0" w:line="240" w:lineRule="auto"/>
        <w:ind w:left="153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8A368" w14:textId="559941A5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Okvirni opseg financijskih planova za razdoblje 202</w:t>
      </w:r>
      <w:r w:rsidR="009C2B8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 w:rsidR="009C2B8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treba predvidjeti na razini smanjenja ili stagnacije u odnosu na realizaciju u 202</w:t>
      </w:r>
      <w:r w:rsidR="009C2B8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i očekivanu realizaciju za 202</w:t>
      </w:r>
      <w:r w:rsidR="009C2B8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 Posebno se to odnosi na financijske planove koji se financiraju iz izvornih prihoda Grada Čazme.</w:t>
      </w:r>
    </w:p>
    <w:p w14:paraId="6F91AC50" w14:textId="77777777" w:rsidR="00054E26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2D78D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Ovim Uputama, kako to nalaže Zakon o fiskalnoj odgovornosti, određuju se limiti u apsolutnim iznosima koje su proračunski korisnici dužni razraditi u svojim financijskim planovima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Dakle, iznos koji je određen za financiranje pojedinog proračunskog korisnika u svojem financijskom planu potrebno je raspodijeliti na programe, aktivnosti i projekte koje očekujete da Grad financira. Napominjemo da će Grad kao i ranijih godina djelomično financirati rashode za zaposlene, materijalne rashode, kao i ostale realne rashode proračunskog korisnika ovisno o njegovim specifičnostima.</w:t>
      </w:r>
    </w:p>
    <w:p w14:paraId="428C699B" w14:textId="77777777" w:rsidR="00054E26" w:rsidRDefault="00054E26" w:rsidP="00054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BC328E" w14:textId="77777777" w:rsidR="00054E26" w:rsidRPr="001B345B" w:rsidRDefault="00054E26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B345B">
        <w:rPr>
          <w:rFonts w:ascii="Times New Roman" w:eastAsia="Times New Roman" w:hAnsi="Times New Roman" w:cs="Times New Roman"/>
          <w:b/>
          <w:bCs/>
          <w:lang w:eastAsia="hr-HR"/>
        </w:rPr>
        <w:t>VISINA FINANCIJSKOG PLANA ZA RAZDJELE IZ IZVORA OPĆI PRIHODI I PRIMICI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460"/>
        <w:gridCol w:w="2556"/>
        <w:gridCol w:w="1318"/>
        <w:gridCol w:w="1287"/>
        <w:gridCol w:w="1356"/>
        <w:gridCol w:w="1287"/>
        <w:gridCol w:w="1356"/>
      </w:tblGrid>
      <w:tr w:rsidR="00054E26" w:rsidRPr="003A0055" w14:paraId="4BE9C71D" w14:textId="77777777" w:rsidTr="00C06A4F">
        <w:trPr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43DC" w14:textId="77777777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1355" w14:textId="77777777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7780" w14:textId="77777777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733840" w14:textId="15A65C18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</w:t>
            </w: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C53A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C56C" w14:textId="77777777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F6F5D" w14:textId="311081EC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PROJEKCIJA 202</w:t>
            </w:r>
            <w:r w:rsidR="00C53A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 I 202</w:t>
            </w:r>
            <w:r w:rsidR="00C53A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264A" w14:textId="77777777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54E26" w:rsidRPr="003A0055" w14:paraId="42ED5821" w14:textId="77777777" w:rsidTr="00C06A4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8265" w14:textId="77777777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34E2" w14:textId="77777777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93EC" w14:textId="2055444B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C53A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AC10" w14:textId="77777777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Limit 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A7CC" w14:textId="77777777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Limit B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099C" w14:textId="77777777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Limit 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90F9" w14:textId="77777777" w:rsidR="00054E26" w:rsidRPr="003A0055" w:rsidRDefault="00054E26" w:rsidP="00147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Limit B</w:t>
            </w:r>
          </w:p>
        </w:tc>
      </w:tr>
      <w:tr w:rsidR="00054E26" w:rsidRPr="003A0055" w14:paraId="567A0FA8" w14:textId="77777777" w:rsidTr="00C06A4F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23D7" w14:textId="7FD9C4D8" w:rsidR="00054E26" w:rsidRPr="003A0055" w:rsidRDefault="00054696" w:rsidP="00147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054E26" w:rsidRPr="003A0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ADAD" w14:textId="77777777" w:rsidR="00054E26" w:rsidRPr="003A0055" w:rsidRDefault="00054E26" w:rsidP="00147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UPRAVNI ODJEL ZA DRUŠTVENE DJELATNOSTI, OBRAZOVANJE I ODNOSE S JAVNOŠĆU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6CA9" w14:textId="164DC92F" w:rsidR="00054E26" w:rsidRPr="003A0055" w:rsidRDefault="00C06A4F" w:rsidP="00147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2.569.091,53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26CAF" w14:textId="53C1EEC2" w:rsidR="00054E26" w:rsidRPr="003A0055" w:rsidRDefault="00C06A4F" w:rsidP="00147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2.553.881,50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2E85" w14:textId="60D3DF9E" w:rsidR="00054E26" w:rsidRPr="003A0055" w:rsidRDefault="00C06A4F" w:rsidP="00147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2.553.881,50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7FF5" w14:textId="77777777" w:rsidR="00054E26" w:rsidRPr="003A0055" w:rsidRDefault="00054E26" w:rsidP="00147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</w:t>
            </w:r>
            <w:r w:rsidRPr="003A0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9319" w14:textId="77777777" w:rsidR="00054E26" w:rsidRPr="003A0055" w:rsidRDefault="00054E26" w:rsidP="00147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</w:t>
            </w:r>
            <w:r w:rsidRPr="003A0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054E26" w:rsidRPr="003A0055" w14:paraId="49F45964" w14:textId="77777777" w:rsidTr="00C06A4F">
        <w:trPr>
          <w:trHeight w:val="1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7740" w14:textId="1A923ED1" w:rsidR="00054E26" w:rsidRPr="003A0055" w:rsidRDefault="00054696" w:rsidP="00147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="00054E26" w:rsidRPr="003A0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9636" w14:textId="77777777" w:rsidR="00054E26" w:rsidRPr="003A0055" w:rsidRDefault="00054E26" w:rsidP="00147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UPRAVNI ODJEL ZA KOMUNALNO GOSPODARSTVO, GOSPODARSTVO, ZAŠTITU OKOLIŠA I EKOLOGIJU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65CB" w14:textId="0AFDF3CA" w:rsidR="00054E26" w:rsidRPr="003A0055" w:rsidRDefault="00C06A4F" w:rsidP="00147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2.124.892,15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DDDC" w14:textId="5EE974BD" w:rsidR="00054E26" w:rsidRPr="003A0055" w:rsidRDefault="00C06A4F" w:rsidP="00147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2.122.237,70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14D7" w14:textId="43F2BB72" w:rsidR="00054E26" w:rsidRPr="003A0055" w:rsidRDefault="00C06A4F" w:rsidP="00147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2.122.237,70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E66BB" w14:textId="1958DEA9" w:rsidR="00054E26" w:rsidRPr="003A0055" w:rsidRDefault="00C06A4F" w:rsidP="00147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2.121.574,08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D99D" w14:textId="689D918E" w:rsidR="00054E26" w:rsidRPr="003A0055" w:rsidRDefault="00C06A4F" w:rsidP="00147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2.121.574,08</w:t>
            </w:r>
          </w:p>
        </w:tc>
      </w:tr>
    </w:tbl>
    <w:p w14:paraId="1D39935A" w14:textId="77777777" w:rsidR="00054E26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BD6DF" w14:textId="77777777" w:rsidR="00054696" w:rsidRDefault="0005469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9E8AE6" w14:textId="77777777" w:rsidR="00054696" w:rsidRDefault="0005469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9B1ECC" w14:textId="77777777" w:rsidR="00054696" w:rsidRDefault="0005469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368D04" w14:textId="77777777" w:rsidR="00054696" w:rsidRPr="002D78D5" w:rsidRDefault="0005469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4CD602" w14:textId="6D0ABD57" w:rsidR="00054696" w:rsidRPr="001B345B" w:rsidRDefault="00054696" w:rsidP="00054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B345B">
        <w:rPr>
          <w:rFonts w:ascii="Times New Roman" w:eastAsia="Times New Roman" w:hAnsi="Times New Roman" w:cs="Times New Roman"/>
          <w:b/>
          <w:bCs/>
          <w:lang w:eastAsia="hr-HR"/>
        </w:rPr>
        <w:t xml:space="preserve">VISINA FINANCIJSKOG PLANA ZA RAZDJELE IZ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VLASTITIH I NAMJENSKIH PRIHODA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460"/>
        <w:gridCol w:w="2556"/>
        <w:gridCol w:w="1318"/>
        <w:gridCol w:w="1287"/>
        <w:gridCol w:w="1356"/>
        <w:gridCol w:w="1287"/>
        <w:gridCol w:w="1356"/>
      </w:tblGrid>
      <w:tr w:rsidR="00054696" w:rsidRPr="003A0055" w14:paraId="369AE785" w14:textId="77777777" w:rsidTr="00A13910">
        <w:trPr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1305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903D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63CE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00A230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</w:t>
            </w: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E8CD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A1C064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PROJEKCIJA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 I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6D7A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54696" w:rsidRPr="003A0055" w14:paraId="0E35AC43" w14:textId="77777777" w:rsidTr="00A1391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9914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8435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CD7C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B490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Limit 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B9B9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Limit B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DE01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Limit 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98023" w14:textId="77777777" w:rsidR="00054696" w:rsidRPr="003A0055" w:rsidRDefault="00054696" w:rsidP="00A1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Limit B</w:t>
            </w:r>
          </w:p>
        </w:tc>
      </w:tr>
      <w:tr w:rsidR="00054696" w:rsidRPr="003A0055" w14:paraId="5FE67D64" w14:textId="77777777" w:rsidTr="00A13910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4F3F" w14:textId="5E8145DC" w:rsidR="00054696" w:rsidRPr="003A0055" w:rsidRDefault="00054696" w:rsidP="00A1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Pr="003A0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F39C" w14:textId="77777777" w:rsidR="00054696" w:rsidRPr="003A0055" w:rsidRDefault="00054696" w:rsidP="00A1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UPRAVNI ODJEL ZA DRUŠTVENE DJELATNOSTI, OBRAZOVANJE I ODNOSE S JAVNOŠĆU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8BB4" w14:textId="2600FFC9" w:rsidR="00054696" w:rsidRPr="003A0055" w:rsidRDefault="00054696" w:rsidP="00A13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3EC0" w14:textId="2D186A71" w:rsidR="00054696" w:rsidRPr="003A0055" w:rsidRDefault="00054696" w:rsidP="00A13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14BC" w14:textId="6409EAEA" w:rsidR="00054696" w:rsidRPr="003A0055" w:rsidRDefault="00054696" w:rsidP="00A13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20A0" w14:textId="0D96BE97" w:rsidR="00054696" w:rsidRPr="003A0055" w:rsidRDefault="00054696" w:rsidP="00A13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7A09" w14:textId="6F97A310" w:rsidR="00054696" w:rsidRPr="003A0055" w:rsidRDefault="00054696" w:rsidP="00A13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9.290,60</w:t>
            </w:r>
          </w:p>
        </w:tc>
      </w:tr>
      <w:tr w:rsidR="00054696" w:rsidRPr="003A0055" w14:paraId="01BEEDF6" w14:textId="77777777" w:rsidTr="00A13910">
        <w:trPr>
          <w:trHeight w:val="1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422B" w14:textId="67B7F3D4" w:rsidR="00054696" w:rsidRPr="003A0055" w:rsidRDefault="00054696" w:rsidP="00A1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Pr="003A0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8211F" w14:textId="77777777" w:rsidR="00054696" w:rsidRPr="003A0055" w:rsidRDefault="00054696" w:rsidP="00A1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A0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UPRAVNI ODJEL ZA KOMUNALNO GOSPODARSTVO, GOSPODARSTVO, ZAŠTITU OKOLIŠA I EKOLOGIJU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7044" w14:textId="3718E8C9" w:rsidR="00054696" w:rsidRPr="003A0055" w:rsidRDefault="00054696" w:rsidP="00A13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888.180,99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978D" w14:textId="00ACF1BF" w:rsidR="00054696" w:rsidRPr="003A0055" w:rsidRDefault="00054696" w:rsidP="00A13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888.180,99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D490" w14:textId="45FDFAFA" w:rsidR="00054696" w:rsidRPr="003A0055" w:rsidRDefault="00054696" w:rsidP="00A13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888.180,99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85B5" w14:textId="718A7094" w:rsidR="00054696" w:rsidRPr="003A0055" w:rsidRDefault="00054696" w:rsidP="00A13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888.180,99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5216" w14:textId="19CA07B0" w:rsidR="00054696" w:rsidRPr="003A0055" w:rsidRDefault="00054696" w:rsidP="00A13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888.180,99</w:t>
            </w:r>
          </w:p>
        </w:tc>
      </w:tr>
    </w:tbl>
    <w:p w14:paraId="57123AB1" w14:textId="77777777" w:rsidR="00054696" w:rsidRDefault="0005469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36F8EA" w14:textId="77777777" w:rsidR="00054696" w:rsidRDefault="0005469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C7D493" w14:textId="77777777" w:rsidR="00054696" w:rsidRDefault="0005469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B199CF" w14:textId="77777777" w:rsidR="00054696" w:rsidRDefault="0005469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860FDB" w14:textId="77777777" w:rsidR="00054696" w:rsidRDefault="0005469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278CAE" w14:textId="77777777" w:rsidR="00054696" w:rsidRDefault="0005469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6C6B91" w14:textId="77777777" w:rsidR="00054696" w:rsidRDefault="0005469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D6A389" w14:textId="661B2A02" w:rsidR="00054E26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financiranje proračunskih korisnika </w:t>
      </w:r>
      <w:r w:rsidR="00541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izvora </w:t>
      </w:r>
      <w:r w:rsidR="00541C9E" w:rsidRPr="005A6E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 prihodi i primici</w:t>
      </w:r>
      <w:r w:rsidR="00541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Čazme za 202</w:t>
      </w:r>
      <w:r w:rsidR="00C06A4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-202</w:t>
      </w:r>
      <w:r w:rsidR="00C06A4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 određena su u slijedećim iznosima:</w:t>
      </w:r>
    </w:p>
    <w:p w14:paraId="794C8F50" w14:textId="77777777" w:rsidR="00054E26" w:rsidRPr="002D78D5" w:rsidRDefault="00054E26" w:rsidP="00054E2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tbl>
      <w:tblPr>
        <w:tblStyle w:val="Reetkatablice"/>
        <w:tblW w:w="5000" w:type="pct"/>
        <w:tblInd w:w="0" w:type="dxa"/>
        <w:tblLook w:val="01E0" w:firstRow="1" w:lastRow="1" w:firstColumn="1" w:lastColumn="1" w:noHBand="0" w:noVBand="0"/>
      </w:tblPr>
      <w:tblGrid>
        <w:gridCol w:w="1815"/>
        <w:gridCol w:w="1813"/>
        <w:gridCol w:w="1812"/>
        <w:gridCol w:w="1811"/>
        <w:gridCol w:w="1811"/>
      </w:tblGrid>
      <w:tr w:rsidR="00054E26" w:rsidRPr="001B345B" w14:paraId="5A7DC7D1" w14:textId="77777777" w:rsidTr="00147A9F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A62" w14:textId="77777777" w:rsidR="00054E26" w:rsidRPr="001B345B" w:rsidRDefault="00054E26" w:rsidP="00147A9F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KORISNIK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4111" w14:textId="77777777" w:rsidR="00054E26" w:rsidRPr="001B345B" w:rsidRDefault="00054E26" w:rsidP="00147A9F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LIMIT A</w:t>
            </w:r>
          </w:p>
          <w:p w14:paraId="0B88FD40" w14:textId="11CF8870" w:rsidR="00054E26" w:rsidRPr="001B345B" w:rsidRDefault="00054E26" w:rsidP="00147A9F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202</w:t>
            </w:r>
            <w:r w:rsidR="00C06A4F">
              <w:rPr>
                <w:b/>
                <w:bCs/>
                <w:sz w:val="24"/>
                <w:szCs w:val="24"/>
              </w:rPr>
              <w:t>4</w:t>
            </w:r>
            <w:r w:rsidRPr="001B345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2C16" w14:textId="77777777" w:rsidR="00054E26" w:rsidRPr="001B345B" w:rsidRDefault="00054E26" w:rsidP="00147A9F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LIMIT B</w:t>
            </w:r>
          </w:p>
          <w:p w14:paraId="3470056F" w14:textId="7F5A3EA2" w:rsidR="00054E26" w:rsidRPr="001B345B" w:rsidRDefault="00054E26" w:rsidP="00147A9F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202</w:t>
            </w:r>
            <w:r w:rsidR="00C06A4F">
              <w:rPr>
                <w:b/>
                <w:bCs/>
                <w:sz w:val="24"/>
                <w:szCs w:val="24"/>
              </w:rPr>
              <w:t>4</w:t>
            </w:r>
            <w:r w:rsidRPr="001B345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B11" w14:textId="2515BDB3" w:rsidR="00054E26" w:rsidRPr="001B345B" w:rsidRDefault="00054E26" w:rsidP="00147A9F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LIMIT A 202</w:t>
            </w:r>
            <w:r w:rsidR="00C06A4F">
              <w:rPr>
                <w:b/>
                <w:bCs/>
                <w:sz w:val="24"/>
                <w:szCs w:val="24"/>
              </w:rPr>
              <w:t>5</w:t>
            </w:r>
            <w:r w:rsidRPr="001B345B">
              <w:rPr>
                <w:b/>
                <w:bCs/>
                <w:sz w:val="24"/>
                <w:szCs w:val="24"/>
              </w:rPr>
              <w:t>/202</w:t>
            </w:r>
            <w:r w:rsidR="00C06A4F">
              <w:rPr>
                <w:b/>
                <w:bCs/>
                <w:sz w:val="24"/>
                <w:szCs w:val="24"/>
              </w:rPr>
              <w:t>6</w:t>
            </w:r>
            <w:r w:rsidRPr="001B345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98C" w14:textId="77777777" w:rsidR="00054E26" w:rsidRPr="001B345B" w:rsidRDefault="00054E26" w:rsidP="00147A9F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LIMIT B</w:t>
            </w:r>
          </w:p>
          <w:p w14:paraId="73608FE9" w14:textId="6AD3C2F1" w:rsidR="00054E26" w:rsidRPr="001B345B" w:rsidRDefault="00054E26" w:rsidP="00147A9F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202</w:t>
            </w:r>
            <w:r w:rsidR="00C06A4F">
              <w:rPr>
                <w:b/>
                <w:bCs/>
                <w:sz w:val="24"/>
                <w:szCs w:val="24"/>
              </w:rPr>
              <w:t>5</w:t>
            </w:r>
            <w:r w:rsidRPr="001B345B">
              <w:rPr>
                <w:b/>
                <w:bCs/>
                <w:sz w:val="24"/>
                <w:szCs w:val="24"/>
              </w:rPr>
              <w:t>/202</w:t>
            </w:r>
            <w:r w:rsidR="00C06A4F">
              <w:rPr>
                <w:b/>
                <w:bCs/>
                <w:sz w:val="24"/>
                <w:szCs w:val="24"/>
              </w:rPr>
              <w:t>6</w:t>
            </w:r>
            <w:r w:rsidRPr="001B345B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54E26" w:rsidRPr="002D78D5" w14:paraId="50F301D3" w14:textId="77777777" w:rsidTr="00147A9F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859A" w14:textId="77777777" w:rsidR="00054E26" w:rsidRPr="002D78D5" w:rsidRDefault="00054E26" w:rsidP="00147A9F">
            <w:pPr>
              <w:jc w:val="both"/>
              <w:rPr>
                <w:sz w:val="24"/>
                <w:szCs w:val="24"/>
              </w:rPr>
            </w:pPr>
            <w:r w:rsidRPr="002D78D5">
              <w:rPr>
                <w:sz w:val="24"/>
                <w:szCs w:val="24"/>
              </w:rPr>
              <w:t xml:space="preserve">Dječji vrtić «Pčelica»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3544" w14:textId="50F07055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582.000,00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671E" w14:textId="47F5F073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582.000,00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5A8" w14:textId="32A634AD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582.000,00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F83" w14:textId="17F0C76E" w:rsidR="00054E26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582.000,00</w:t>
            </w:r>
          </w:p>
          <w:p w14:paraId="567E93A5" w14:textId="7AAAD2CA" w:rsidR="005A6E7F" w:rsidRPr="00707B5C" w:rsidRDefault="005A6E7F" w:rsidP="00147A9F">
            <w:pPr>
              <w:jc w:val="right"/>
              <w:rPr>
                <w:sz w:val="24"/>
                <w:szCs w:val="24"/>
              </w:rPr>
            </w:pPr>
          </w:p>
        </w:tc>
      </w:tr>
      <w:tr w:rsidR="00054E26" w:rsidRPr="002D78D5" w14:paraId="5AD6944B" w14:textId="77777777" w:rsidTr="00147A9F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D02D" w14:textId="77777777" w:rsidR="00054E26" w:rsidRPr="002D78D5" w:rsidRDefault="00054E26" w:rsidP="00147A9F">
            <w:pPr>
              <w:jc w:val="both"/>
              <w:rPr>
                <w:sz w:val="24"/>
                <w:szCs w:val="24"/>
              </w:rPr>
            </w:pPr>
            <w:r w:rsidRPr="002D78D5">
              <w:rPr>
                <w:sz w:val="24"/>
                <w:szCs w:val="24"/>
              </w:rPr>
              <w:t xml:space="preserve">Centar za kulturu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DA1" w14:textId="77777777" w:rsidR="00054E26" w:rsidRPr="00707B5C" w:rsidRDefault="00054E26" w:rsidP="00147A9F">
            <w:pPr>
              <w:jc w:val="right"/>
              <w:rPr>
                <w:sz w:val="24"/>
                <w:szCs w:val="24"/>
              </w:rPr>
            </w:pPr>
            <w:r w:rsidRPr="00707B5C">
              <w:rPr>
                <w:sz w:val="24"/>
                <w:szCs w:val="24"/>
              </w:rPr>
              <w:t>183.000,00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492" w14:textId="77777777" w:rsidR="00054E26" w:rsidRPr="00707B5C" w:rsidRDefault="00054E26" w:rsidP="00147A9F">
            <w:pPr>
              <w:jc w:val="right"/>
              <w:rPr>
                <w:sz w:val="24"/>
                <w:szCs w:val="24"/>
              </w:rPr>
            </w:pPr>
            <w:r w:rsidRPr="00707B5C">
              <w:rPr>
                <w:sz w:val="24"/>
                <w:szCs w:val="24"/>
              </w:rPr>
              <w:t>183.000,00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8AA" w14:textId="77777777" w:rsidR="00054E26" w:rsidRPr="00707B5C" w:rsidRDefault="00054E26" w:rsidP="00147A9F">
            <w:pPr>
              <w:jc w:val="right"/>
              <w:rPr>
                <w:sz w:val="24"/>
                <w:szCs w:val="24"/>
              </w:rPr>
            </w:pPr>
            <w:r w:rsidRPr="00707B5C">
              <w:rPr>
                <w:sz w:val="24"/>
                <w:szCs w:val="24"/>
              </w:rPr>
              <w:t>183.000,00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915F" w14:textId="77777777" w:rsidR="00054E26" w:rsidRPr="00707B5C" w:rsidRDefault="00054E26" w:rsidP="00147A9F">
            <w:pPr>
              <w:jc w:val="right"/>
              <w:rPr>
                <w:sz w:val="24"/>
                <w:szCs w:val="24"/>
              </w:rPr>
            </w:pPr>
            <w:r w:rsidRPr="00707B5C">
              <w:rPr>
                <w:sz w:val="24"/>
                <w:szCs w:val="24"/>
              </w:rPr>
              <w:t>183.000,00</w:t>
            </w:r>
          </w:p>
        </w:tc>
      </w:tr>
      <w:tr w:rsidR="00054E26" w:rsidRPr="002D78D5" w14:paraId="53AC2B50" w14:textId="77777777" w:rsidTr="00147A9F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F695" w14:textId="77777777" w:rsidR="00054E26" w:rsidRPr="002D78D5" w:rsidRDefault="00054E26" w:rsidP="00147A9F">
            <w:pPr>
              <w:jc w:val="both"/>
              <w:rPr>
                <w:sz w:val="24"/>
                <w:szCs w:val="24"/>
              </w:rPr>
            </w:pPr>
            <w:r w:rsidRPr="002D78D5">
              <w:rPr>
                <w:sz w:val="24"/>
                <w:szCs w:val="24"/>
              </w:rPr>
              <w:t>Gradska knjižnica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9D34" w14:textId="1D4BFD56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83.000,00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D19" w14:textId="698DD756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054E26" w:rsidRPr="00707B5C">
              <w:rPr>
                <w:sz w:val="24"/>
                <w:szCs w:val="24"/>
              </w:rPr>
              <w:t>.000,00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8D50" w14:textId="4D71E03D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054E26" w:rsidRPr="00707B5C">
              <w:rPr>
                <w:sz w:val="24"/>
                <w:szCs w:val="24"/>
              </w:rPr>
              <w:t>.000,00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2FF9" w14:textId="334F587B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054E26" w:rsidRPr="00707B5C">
              <w:rPr>
                <w:sz w:val="24"/>
                <w:szCs w:val="24"/>
              </w:rPr>
              <w:t>.000,00</w:t>
            </w:r>
          </w:p>
        </w:tc>
      </w:tr>
      <w:tr w:rsidR="00054E26" w:rsidRPr="002D78D5" w14:paraId="4E7A9FBF" w14:textId="77777777" w:rsidTr="00147A9F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7D53" w14:textId="77777777" w:rsidR="00054E26" w:rsidRPr="002D78D5" w:rsidRDefault="00054E26" w:rsidP="00147A9F">
            <w:pPr>
              <w:jc w:val="both"/>
              <w:rPr>
                <w:sz w:val="24"/>
                <w:szCs w:val="24"/>
              </w:rPr>
            </w:pPr>
            <w:r w:rsidRPr="002D78D5">
              <w:rPr>
                <w:sz w:val="24"/>
                <w:szCs w:val="24"/>
              </w:rPr>
              <w:t>Javna vatrogasna postrojba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3CA" w14:textId="09C03BE9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223.000,00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D6D" w14:textId="4BB01A54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223.000,00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52F" w14:textId="5002EFD6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223.000,00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CAD1" w14:textId="326CF74F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223.000,00</w:t>
            </w:r>
          </w:p>
        </w:tc>
      </w:tr>
      <w:tr w:rsidR="00054E26" w:rsidRPr="002D78D5" w14:paraId="23424575" w14:textId="77777777" w:rsidTr="00147A9F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4AD6" w14:textId="77777777" w:rsidR="00054E26" w:rsidRPr="002D78D5" w:rsidRDefault="00054E26" w:rsidP="00147A9F">
            <w:pPr>
              <w:jc w:val="both"/>
              <w:rPr>
                <w:sz w:val="24"/>
                <w:szCs w:val="24"/>
              </w:rPr>
            </w:pPr>
            <w:r w:rsidRPr="002D78D5">
              <w:rPr>
                <w:sz w:val="24"/>
                <w:szCs w:val="24"/>
              </w:rPr>
              <w:t>Osnovna škola Čazma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D585" w14:textId="0769F931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142.000,00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5118" w14:textId="10234A9B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142.000,00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D046" w14:textId="54ABA9C9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142.000</w:t>
            </w:r>
            <w:r w:rsidR="00054E26" w:rsidRPr="00707B5C">
              <w:rPr>
                <w:sz w:val="24"/>
                <w:szCs w:val="24"/>
              </w:rPr>
              <w:t>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DD02" w14:textId="2FBFFE60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142.000</w:t>
            </w:r>
            <w:r w:rsidR="00054E26" w:rsidRPr="00707B5C">
              <w:rPr>
                <w:sz w:val="24"/>
                <w:szCs w:val="24"/>
              </w:rPr>
              <w:t>,00</w:t>
            </w:r>
          </w:p>
        </w:tc>
      </w:tr>
      <w:tr w:rsidR="00054E26" w:rsidRPr="002D78D5" w14:paraId="66BFC678" w14:textId="77777777" w:rsidTr="00147A9F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6807" w14:textId="77777777" w:rsidR="00054E26" w:rsidRPr="002D78D5" w:rsidRDefault="00054E26" w:rsidP="00147A9F">
            <w:pPr>
              <w:jc w:val="both"/>
              <w:rPr>
                <w:sz w:val="24"/>
                <w:szCs w:val="24"/>
              </w:rPr>
            </w:pPr>
            <w:r w:rsidRPr="002D78D5">
              <w:rPr>
                <w:sz w:val="24"/>
                <w:szCs w:val="24"/>
              </w:rPr>
              <w:t>Javna ustanova Razvojna agencija Čazma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C2C" w14:textId="737FDDC4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188.000,00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9F7A" w14:textId="03CBB451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188.000,00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DB3" w14:textId="505FC3F9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188.000,00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D8E7" w14:textId="3BF0988C" w:rsidR="00054E26" w:rsidRPr="00707B5C" w:rsidRDefault="005A6E7F" w:rsidP="00147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188.000,00</w:t>
            </w:r>
          </w:p>
        </w:tc>
      </w:tr>
    </w:tbl>
    <w:p w14:paraId="662DDE68" w14:textId="77777777" w:rsidR="00054E26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8F05BE" w14:textId="77777777" w:rsidR="00B125F2" w:rsidRDefault="00B125F2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C6BA42" w14:textId="7AE76419" w:rsidR="00B125F2" w:rsidRDefault="00B125F2" w:rsidP="00B12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financiranje proračunskih korisnika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izvora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5.4 Pomoći izravnanja za decentralizirane funkcije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Čazme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-2026.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 određena su u slijedećim iznosima:</w:t>
      </w:r>
    </w:p>
    <w:p w14:paraId="11E47762" w14:textId="77777777" w:rsidR="00B125F2" w:rsidRPr="002D78D5" w:rsidRDefault="00B125F2" w:rsidP="00B125F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tbl>
      <w:tblPr>
        <w:tblStyle w:val="Reetkatablice"/>
        <w:tblW w:w="5000" w:type="pct"/>
        <w:tblInd w:w="0" w:type="dxa"/>
        <w:tblLook w:val="01E0" w:firstRow="1" w:lastRow="1" w:firstColumn="1" w:lastColumn="1" w:noHBand="0" w:noVBand="0"/>
      </w:tblPr>
      <w:tblGrid>
        <w:gridCol w:w="1815"/>
        <w:gridCol w:w="1813"/>
        <w:gridCol w:w="1812"/>
        <w:gridCol w:w="1811"/>
        <w:gridCol w:w="1811"/>
      </w:tblGrid>
      <w:tr w:rsidR="00B125F2" w:rsidRPr="001B345B" w14:paraId="5B6B068A" w14:textId="77777777" w:rsidTr="00A13910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264" w14:textId="77777777" w:rsidR="00B125F2" w:rsidRPr="001B345B" w:rsidRDefault="00B125F2" w:rsidP="00A1391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KORISNIK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B1E" w14:textId="77777777" w:rsidR="00B125F2" w:rsidRPr="001B345B" w:rsidRDefault="00B125F2" w:rsidP="00A1391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LIMIT A</w:t>
            </w:r>
          </w:p>
          <w:p w14:paraId="5EECE7A2" w14:textId="77777777" w:rsidR="00B125F2" w:rsidRPr="001B345B" w:rsidRDefault="00B125F2" w:rsidP="00A1391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B345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25C" w14:textId="77777777" w:rsidR="00B125F2" w:rsidRPr="001B345B" w:rsidRDefault="00B125F2" w:rsidP="00A1391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LIMIT B</w:t>
            </w:r>
          </w:p>
          <w:p w14:paraId="42F02B76" w14:textId="77777777" w:rsidR="00B125F2" w:rsidRPr="001B345B" w:rsidRDefault="00B125F2" w:rsidP="00A1391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B345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81E" w14:textId="77777777" w:rsidR="00B125F2" w:rsidRPr="001B345B" w:rsidRDefault="00B125F2" w:rsidP="00A1391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LIMIT A 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1B345B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1B345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01A" w14:textId="77777777" w:rsidR="00B125F2" w:rsidRPr="001B345B" w:rsidRDefault="00B125F2" w:rsidP="00A1391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LIMIT B</w:t>
            </w:r>
          </w:p>
          <w:p w14:paraId="6B4BF10A" w14:textId="77777777" w:rsidR="00B125F2" w:rsidRPr="001B345B" w:rsidRDefault="00B125F2" w:rsidP="00A1391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45B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1B345B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1B345B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B125F2" w:rsidRPr="002D78D5" w14:paraId="770AAD56" w14:textId="77777777" w:rsidTr="00A13910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5076" w14:textId="77777777" w:rsidR="00B125F2" w:rsidRPr="002D78D5" w:rsidRDefault="00B125F2" w:rsidP="00A13910">
            <w:pPr>
              <w:jc w:val="both"/>
              <w:rPr>
                <w:sz w:val="24"/>
                <w:szCs w:val="24"/>
              </w:rPr>
            </w:pPr>
            <w:r w:rsidRPr="002D78D5">
              <w:rPr>
                <w:sz w:val="24"/>
                <w:szCs w:val="24"/>
              </w:rPr>
              <w:t>Javna vatrogasna postrojba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8B5" w14:textId="1B48E124" w:rsidR="00B125F2" w:rsidRPr="00707B5C" w:rsidRDefault="00B125F2" w:rsidP="00A13910">
            <w:pPr>
              <w:jc w:val="right"/>
              <w:rPr>
                <w:sz w:val="24"/>
                <w:szCs w:val="24"/>
              </w:rPr>
            </w:pPr>
            <w:r w:rsidRPr="00B125F2">
              <w:rPr>
                <w:sz w:val="24"/>
                <w:szCs w:val="24"/>
              </w:rPr>
              <w:t>293.380,57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96C" w14:textId="04DF29D9" w:rsidR="00B125F2" w:rsidRPr="00707B5C" w:rsidRDefault="00B125F2" w:rsidP="00A13910">
            <w:pPr>
              <w:jc w:val="right"/>
              <w:rPr>
                <w:sz w:val="24"/>
                <w:szCs w:val="24"/>
              </w:rPr>
            </w:pPr>
            <w:r w:rsidRPr="00B125F2">
              <w:rPr>
                <w:sz w:val="24"/>
                <w:szCs w:val="24"/>
              </w:rPr>
              <w:t>293.380,57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13FD" w14:textId="672CF72F" w:rsidR="00B125F2" w:rsidRPr="00707B5C" w:rsidRDefault="00B125F2" w:rsidP="00A13910">
            <w:pPr>
              <w:jc w:val="right"/>
              <w:rPr>
                <w:sz w:val="24"/>
                <w:szCs w:val="24"/>
              </w:rPr>
            </w:pPr>
            <w:r w:rsidRPr="00B125F2">
              <w:rPr>
                <w:sz w:val="24"/>
                <w:szCs w:val="24"/>
              </w:rPr>
              <w:t>293.380,57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F37" w14:textId="2070B07C" w:rsidR="00B125F2" w:rsidRPr="00707B5C" w:rsidRDefault="00B125F2" w:rsidP="00A13910">
            <w:pPr>
              <w:jc w:val="right"/>
              <w:rPr>
                <w:sz w:val="24"/>
                <w:szCs w:val="24"/>
              </w:rPr>
            </w:pPr>
            <w:r w:rsidRPr="00B125F2">
              <w:rPr>
                <w:sz w:val="24"/>
                <w:szCs w:val="24"/>
              </w:rPr>
              <w:t>293.380,57</w:t>
            </w:r>
          </w:p>
        </w:tc>
      </w:tr>
      <w:tr w:rsidR="00B125F2" w:rsidRPr="002D78D5" w14:paraId="58809092" w14:textId="77777777" w:rsidTr="00A13910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A76" w14:textId="77777777" w:rsidR="00B125F2" w:rsidRPr="002D78D5" w:rsidRDefault="00B125F2" w:rsidP="00A13910">
            <w:pPr>
              <w:jc w:val="both"/>
              <w:rPr>
                <w:sz w:val="24"/>
                <w:szCs w:val="24"/>
              </w:rPr>
            </w:pPr>
            <w:r w:rsidRPr="002D78D5">
              <w:rPr>
                <w:sz w:val="24"/>
                <w:szCs w:val="24"/>
              </w:rPr>
              <w:t>Osnovna škola Čazma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5233" w14:textId="0999CCB6" w:rsidR="00B125F2" w:rsidRPr="00707B5C" w:rsidRDefault="00B125F2" w:rsidP="00A139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113.653,72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692" w14:textId="68E0325E" w:rsidR="00B125F2" w:rsidRPr="00707B5C" w:rsidRDefault="00B125F2" w:rsidP="00A139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113.653,72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12EC" w14:textId="2257C331" w:rsidR="00B125F2" w:rsidRPr="00707B5C" w:rsidRDefault="00B125F2" w:rsidP="00A139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113.653,72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74D" w14:textId="2B843C96" w:rsidR="00B125F2" w:rsidRPr="00707B5C" w:rsidRDefault="00B125F2" w:rsidP="00A139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113.653,72</w:t>
            </w:r>
          </w:p>
        </w:tc>
      </w:tr>
    </w:tbl>
    <w:p w14:paraId="7707A80C" w14:textId="77777777" w:rsidR="00B125F2" w:rsidRPr="002D78D5" w:rsidRDefault="00B125F2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8BD14" w14:textId="77777777" w:rsidR="00B125F2" w:rsidRDefault="00B125F2" w:rsidP="0005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6DC97" w14:textId="091A71D4" w:rsidR="00B125F2" w:rsidRDefault="00054E26" w:rsidP="0005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78D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08BA27E8" w14:textId="6E390033" w:rsidR="00054E26" w:rsidRPr="002D78D5" w:rsidRDefault="00054E26" w:rsidP="0005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78D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48447F">
        <w:rPr>
          <w:rFonts w:ascii="Times New Roman" w:hAnsi="Times New Roman" w:cs="Times New Roman"/>
          <w:color w:val="000000"/>
          <w:sz w:val="24"/>
          <w:szCs w:val="24"/>
        </w:rPr>
        <w:t>Sukladno Odluci i Ugovoru o prijenosu osnivačkih prava nad Osnovnom školom</w:t>
      </w:r>
      <w:r w:rsidRPr="002D78D5">
        <w:rPr>
          <w:rFonts w:ascii="Times New Roman" w:hAnsi="Times New Roman" w:cs="Times New Roman"/>
          <w:color w:val="000000"/>
          <w:sz w:val="24"/>
          <w:szCs w:val="24"/>
        </w:rPr>
        <w:t xml:space="preserve"> Čazma</w:t>
      </w:r>
      <w:r w:rsidRPr="00484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7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47F">
        <w:rPr>
          <w:rFonts w:ascii="Times New Roman" w:hAnsi="Times New Roman" w:cs="Times New Roman"/>
          <w:color w:val="000000"/>
          <w:sz w:val="24"/>
          <w:szCs w:val="24"/>
        </w:rPr>
        <w:t>sa 1. siječnjem 2023. godine  škol</w:t>
      </w:r>
      <w:r w:rsidRPr="002D78D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84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6E8C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48447F">
        <w:rPr>
          <w:rFonts w:ascii="Times New Roman" w:hAnsi="Times New Roman" w:cs="Times New Roman"/>
          <w:color w:val="000000"/>
          <w:sz w:val="24"/>
          <w:szCs w:val="24"/>
        </w:rPr>
        <w:t>posta</w:t>
      </w:r>
      <w:r w:rsidR="00866E8C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48447F">
        <w:rPr>
          <w:rFonts w:ascii="Times New Roman" w:hAnsi="Times New Roman" w:cs="Times New Roman"/>
          <w:color w:val="000000"/>
          <w:sz w:val="24"/>
          <w:szCs w:val="24"/>
        </w:rPr>
        <w:t xml:space="preserve"> proračunski korisni</w:t>
      </w:r>
      <w:r w:rsidRPr="002D78D5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8447F">
        <w:rPr>
          <w:rFonts w:ascii="Times New Roman" w:hAnsi="Times New Roman" w:cs="Times New Roman"/>
          <w:color w:val="000000"/>
          <w:sz w:val="24"/>
          <w:szCs w:val="24"/>
        </w:rPr>
        <w:t xml:space="preserve"> Grada </w:t>
      </w:r>
      <w:r w:rsidRPr="002D78D5">
        <w:rPr>
          <w:rFonts w:ascii="Times New Roman" w:hAnsi="Times New Roman" w:cs="Times New Roman"/>
          <w:color w:val="000000"/>
          <w:sz w:val="24"/>
          <w:szCs w:val="24"/>
        </w:rPr>
        <w:t>Čazm</w:t>
      </w:r>
      <w:r w:rsidRPr="004844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2D78D5">
        <w:rPr>
          <w:rFonts w:ascii="Times New Roman" w:hAnsi="Times New Roman" w:cs="Times New Roman"/>
          <w:color w:val="000000"/>
          <w:sz w:val="24"/>
          <w:szCs w:val="24"/>
        </w:rPr>
        <w:t xml:space="preserve"> te </w:t>
      </w:r>
      <w:r w:rsidRPr="0048447F">
        <w:rPr>
          <w:rFonts w:ascii="Times New Roman" w:hAnsi="Times New Roman" w:cs="Times New Roman"/>
          <w:color w:val="000000"/>
          <w:sz w:val="24"/>
          <w:szCs w:val="24"/>
        </w:rPr>
        <w:t>financijski plan</w:t>
      </w:r>
      <w:r w:rsidRPr="002D78D5">
        <w:rPr>
          <w:rFonts w:ascii="Times New Roman" w:hAnsi="Times New Roman" w:cs="Times New Roman"/>
          <w:color w:val="000000"/>
          <w:sz w:val="24"/>
          <w:szCs w:val="24"/>
        </w:rPr>
        <w:t xml:space="preserve"> škole</w:t>
      </w:r>
      <w:r w:rsidRPr="0048447F">
        <w:rPr>
          <w:rFonts w:ascii="Times New Roman" w:hAnsi="Times New Roman" w:cs="Times New Roman"/>
          <w:color w:val="000000"/>
          <w:sz w:val="24"/>
          <w:szCs w:val="24"/>
        </w:rPr>
        <w:t xml:space="preserve"> postaj</w:t>
      </w:r>
      <w:r w:rsidRPr="002D78D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8447F">
        <w:rPr>
          <w:rFonts w:ascii="Times New Roman" w:hAnsi="Times New Roman" w:cs="Times New Roman"/>
          <w:color w:val="000000"/>
          <w:sz w:val="24"/>
          <w:szCs w:val="24"/>
        </w:rPr>
        <w:t xml:space="preserve"> sastavni dio proračuna Grada </w:t>
      </w:r>
      <w:r w:rsidRPr="002D78D5">
        <w:rPr>
          <w:rFonts w:ascii="Times New Roman" w:hAnsi="Times New Roman" w:cs="Times New Roman"/>
          <w:color w:val="000000"/>
          <w:sz w:val="24"/>
          <w:szCs w:val="24"/>
        </w:rPr>
        <w:t>Čazme</w:t>
      </w:r>
      <w:r w:rsidRPr="004844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125F2">
        <w:rPr>
          <w:rFonts w:ascii="Times New Roman" w:hAnsi="Times New Roman" w:cs="Times New Roman"/>
          <w:color w:val="000000"/>
          <w:sz w:val="24"/>
          <w:szCs w:val="24"/>
        </w:rPr>
        <w:t xml:space="preserve"> Ukupno su planirani prihodi iz izvora Pomoći izravnanja za decentralizirane funkcije za OŠ Čazma u iznosu 286.193,51€, no napominjemo da se iz navedenih prihoda podmiruju troškovi</w:t>
      </w:r>
      <w:r w:rsidR="00054696">
        <w:rPr>
          <w:rFonts w:ascii="Times New Roman" w:hAnsi="Times New Roman" w:cs="Times New Roman"/>
          <w:color w:val="000000"/>
          <w:sz w:val="24"/>
          <w:szCs w:val="24"/>
        </w:rPr>
        <w:t xml:space="preserve"> prijevoza učenika u osnovnim školama koji nisu iskazani u financijskom planu proračunskog korisnika, a iznose </w:t>
      </w:r>
      <w:r w:rsidR="00054696" w:rsidRPr="00054696">
        <w:rPr>
          <w:rFonts w:ascii="Times New Roman" w:hAnsi="Times New Roman" w:cs="Times New Roman"/>
          <w:color w:val="000000"/>
          <w:sz w:val="24"/>
          <w:szCs w:val="24"/>
        </w:rPr>
        <w:t>172.539,79</w:t>
      </w:r>
      <w:r w:rsidR="00054696">
        <w:rPr>
          <w:rFonts w:ascii="Times New Roman" w:hAnsi="Times New Roman" w:cs="Times New Roman"/>
          <w:color w:val="000000"/>
          <w:sz w:val="24"/>
          <w:szCs w:val="24"/>
        </w:rPr>
        <w:t>€.</w:t>
      </w:r>
    </w:p>
    <w:p w14:paraId="6899A6E0" w14:textId="77777777" w:rsidR="00054E26" w:rsidRPr="0048447F" w:rsidRDefault="00054E26" w:rsidP="0005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3D709" w14:textId="46AC0C14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hAnsi="Times New Roman" w:cs="Times New Roman"/>
          <w:color w:val="000000"/>
          <w:sz w:val="24"/>
          <w:szCs w:val="24"/>
        </w:rPr>
        <w:t>Temeljem Upute Ministarstva financija, ukupan iznos sredstava potreban za osiguranje minimalnih financijskih standarda u 202</w:t>
      </w:r>
      <w:r w:rsidR="009C2B8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78D5">
        <w:rPr>
          <w:rFonts w:ascii="Times New Roman" w:hAnsi="Times New Roman" w:cs="Times New Roman"/>
          <w:color w:val="000000"/>
          <w:sz w:val="24"/>
          <w:szCs w:val="24"/>
        </w:rPr>
        <w:t>. godini planira se na razini prethodne, odnosno 202</w:t>
      </w:r>
      <w:r w:rsidR="009C2B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D78D5">
        <w:rPr>
          <w:rFonts w:ascii="Times New Roman" w:hAnsi="Times New Roman" w:cs="Times New Roman"/>
          <w:color w:val="000000"/>
          <w:sz w:val="24"/>
          <w:szCs w:val="24"/>
        </w:rPr>
        <w:t>. godine, a odnosi se na korisnike: Javnu vatrogasnu postrojbu Čazma i Osnovnu školu Čazma.</w:t>
      </w:r>
    </w:p>
    <w:p w14:paraId="4D7D512E" w14:textId="77777777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0348A" w14:textId="6F41280A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Naprijed navedeni limiti za korisnike Proračuna Grada Čazme odnose se na sredstva potrebna za provedbu postojećih redovnih programa, odnosno aktivnosti (koje proizlaze iz trenutno važećih propisa)</w:t>
      </w:r>
      <w:r w:rsidR="008139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0C8260" w14:textId="77777777" w:rsidR="00054E26" w:rsidRPr="002D78D5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F27A75" w14:textId="77777777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Drugi limit će se utvrđivati sa svakim korisnikom Proračuna ovisno o sredstvima potrebnim za provedbu novih ili promjenu postojećih programa, odnosno aktivnosti.</w:t>
      </w:r>
    </w:p>
    <w:p w14:paraId="4F50D5AF" w14:textId="77777777" w:rsidR="00054E26" w:rsidRPr="002D78D5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228C17" w14:textId="77777777" w:rsidR="00054E26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provođenja postojećih programa, odnosno aktivnosti obuhvaćaju troškove održavanja postojeće razine usluga, uzimajući u obzir očekivane promjene u broju korisnika i primjerice tekuće troškove kapitalnih projekata, koji će se završiti tijekom planiranog razdoblja. Troškovi novih programa uključuju i troškove promjene razine i vrste usluge.</w:t>
      </w:r>
    </w:p>
    <w:p w14:paraId="5FF270C7" w14:textId="77777777" w:rsidR="00813967" w:rsidRPr="002D78D5" w:rsidRDefault="00813967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63117C" w14:textId="0F7F2619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Ovime će se dodatno ojačati sustav odgovornosti proračunskih korisnika za dodijeljena  sredstva potrebna za provedbu postojećih programa, odnosno aktivnosti. Istodobno će se postići transparentnost u utvrđivanju troškova provedbe novih politika te će se izbjeći situacija otvaranja novih aktivnosti i obveza u uvjetima u kojima su sredstva osigurana isključivo u visini potrebnoj za provođenje postojećih aktivnosti i projekata. </w:t>
      </w:r>
    </w:p>
    <w:p w14:paraId="31A2ABC6" w14:textId="77777777" w:rsidR="00054E26" w:rsidRPr="002D78D5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A489B8" w14:textId="0A8B3512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zahtjeva nadležne jedinice, proračunski korisnici su obvezni izrađivati i prijedlog financijskog plana na razini odjeljka ( četvrta razina računskog plana ). Međutim, 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upravno vijeće ili drugo upravljačko tijelo obvezno je usvojiti financijski plan korisnika, a predstavničko tijelo proračun za 202</w:t>
      </w:r>
      <w:r w:rsidR="009C2B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i projekcije za 202</w:t>
      </w:r>
      <w:r w:rsidR="009C2B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i 202</w:t>
      </w:r>
      <w:r w:rsidR="009C2B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 na razini skupine ( druga razina računskog plana).</w:t>
      </w:r>
    </w:p>
    <w:p w14:paraId="6B4439EC" w14:textId="77777777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6F0A05" w14:textId="77777777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Proračunski korisnici </w:t>
      </w:r>
      <w:r w:rsidRPr="002D78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zahtjeve za isplatu sredstava nadležnom Upravnom odjelu dostavljaju 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D78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6. razini ekonomske klasifikacije, a temeljem pravovaljane, vjerodostojne dokumentacije, odnosno u visini stvarno nastalih troškova.</w:t>
      </w:r>
    </w:p>
    <w:p w14:paraId="45E04240" w14:textId="77777777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5A6253" w14:textId="77777777" w:rsidR="00054E26" w:rsidRDefault="00054E26" w:rsidP="00054E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8D5">
        <w:rPr>
          <w:rFonts w:ascii="Times New Roman" w:hAnsi="Times New Roman" w:cs="Times New Roman"/>
          <w:color w:val="000000"/>
          <w:sz w:val="24"/>
          <w:szCs w:val="24"/>
        </w:rPr>
        <w:t> Proračunski korisnici mogu preuzeti obveze na teret proračuna tekuće godine samo za namjene i do visine utvrđene  proračunom ako su za to ispunjeni svi zakonom i drugim propisima utvrđeni uvjeti.</w:t>
      </w:r>
    </w:p>
    <w:p w14:paraId="453AFC00" w14:textId="77777777" w:rsidR="00BC06C9" w:rsidRPr="002D78D5" w:rsidRDefault="00BC06C9" w:rsidP="00054E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7AD228" w14:textId="77777777" w:rsidR="00054E26" w:rsidRPr="002D78D5" w:rsidRDefault="00054E26" w:rsidP="00054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8D5">
        <w:rPr>
          <w:rFonts w:ascii="Times New Roman" w:hAnsi="Times New Roman" w:cs="Times New Roman"/>
          <w:color w:val="000000"/>
          <w:sz w:val="24"/>
          <w:szCs w:val="24"/>
        </w:rPr>
        <w:t xml:space="preserve"> Ako su prihodi i primici uplaćeni u nižem opsegu nego što je iskazano u proračunu, korisnik može preuzeti i plaćati obveze samo u visini stvarno uplaćenih, odnosno raspoloživih sredstava.</w:t>
      </w:r>
    </w:p>
    <w:p w14:paraId="0FDD37BA" w14:textId="77777777" w:rsidR="00054E26" w:rsidRPr="002D78D5" w:rsidRDefault="00054E26" w:rsidP="00054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AFA354" w14:textId="77777777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proračuna jedinica, a time i financijskih planova korisnika, na višoj razini ekonomske klasifikacije jedan je od ključnih mehanizama koji proračunskim korisnicima jedinica daje određenu fleksibilnost u izvršavanju proračuna i financijskog plana, jer su oni ti koji su odgovorni za provođenje svojih programa (aktivnosti i projekata), ali u skladu s usvojenim proračunom i financijskim planom. </w:t>
      </w:r>
    </w:p>
    <w:p w14:paraId="51198F4D" w14:textId="77777777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9B693E" w14:textId="77777777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Jedinice i njihovi proračunski korisnici mogu za svoje potrebe izraditi proračun i financijske planove na detaljnijoj razini ekonomske klasifikacije, ali se predstavničkom tijelu na usvajanje podnosi isključivo proračun na drugoj razini ekonomske klasifikacije. Zbog toga jedinice ne smiju sprječavati svoje proračunske korisnike u probijanju stavki detaljnije razine (četvrte ili pete), uključujući i one proračunske korisnike koji posluju preko sustava riznice. Ograničenje koje moraju poštivati i jedinice i njihovi proračunski korisnici jest 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druga 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razina ekonomske klasifikacije. Međutim, u polugodišnjem i godišnjem izvještaju o izvršenju proračuna izvještava se na razini odjeljka (četvrtoj razini ekonomske klasifikacije) kako članovi predstavničkih tijela, kao i šira javnost ne bi bila uskraćena za potrebne informacije. </w:t>
      </w:r>
    </w:p>
    <w:p w14:paraId="51215B6B" w14:textId="77777777" w:rsidR="00054E26" w:rsidRPr="002D78D5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</w:t>
      </w:r>
    </w:p>
    <w:p w14:paraId="07BD074B" w14:textId="77777777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Zahtjevi za pojedine programe moraju biti detaljno obrazloženi i pripremljeni po modelu programskog planiranja, što obuhvaća:</w:t>
      </w:r>
    </w:p>
    <w:p w14:paraId="79CD7F8A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programa,</w:t>
      </w:r>
    </w:p>
    <w:p w14:paraId="5BA2D348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opis,</w:t>
      </w:r>
    </w:p>
    <w:p w14:paraId="10905EA1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cilj,</w:t>
      </w:r>
    </w:p>
    <w:p w14:paraId="0D8B086E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izvori financiranja,</w:t>
      </w:r>
    </w:p>
    <w:p w14:paraId="29CF1172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projekta,</w:t>
      </w:r>
    </w:p>
    <w:p w14:paraId="07DCFFB6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potrebna sredstva,</w:t>
      </w:r>
    </w:p>
    <w:p w14:paraId="444A8C8F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troškovnik programa,</w:t>
      </w:r>
    </w:p>
    <w:p w14:paraId="7AFF2090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potreban broj radnika za provođenje programa te</w:t>
      </w:r>
    </w:p>
    <w:p w14:paraId="2891339E" w14:textId="77777777" w:rsidR="00054E26" w:rsidRPr="002D78D5" w:rsidRDefault="00054E26" w:rsidP="00054E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očekivane koristi i mjerila za utvrđivanje koristi tog programa.</w:t>
      </w:r>
    </w:p>
    <w:p w14:paraId="6575FF40" w14:textId="77777777" w:rsidR="00054E26" w:rsidRPr="002D78D5" w:rsidRDefault="00054E26" w:rsidP="00054E26">
      <w:pPr>
        <w:spacing w:after="0" w:line="240" w:lineRule="auto"/>
        <w:ind w:left="22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CE25B2" w14:textId="77777777" w:rsidR="00054E26" w:rsidRPr="002D78D5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Obrazloženje financijskog plana proračunskog korisnika je podloga za analiziranje rezultata, usmjeravanje djelovanja i osnova za utvrđivanje odgovornosti. </w:t>
      </w:r>
    </w:p>
    <w:p w14:paraId="518909A3" w14:textId="0CA62D96" w:rsidR="00054E26" w:rsidRPr="002D78D5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Odstupanje od onog što je prethodne godine projicirano za 202</w:t>
      </w:r>
      <w:r w:rsidR="009C2B8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9C2B8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što je već usvojeno prethodne godine, potrebno je u ovom dijelu obrazložiti, navodeći zbog čega dolazi do razlika u odnosu na projekcije dane prethodne godine.</w:t>
      </w:r>
    </w:p>
    <w:p w14:paraId="11438251" w14:textId="77777777" w:rsidR="00054E26" w:rsidRPr="002D78D5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EB1791" w14:textId="77777777" w:rsidR="00054E26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 se po programima prezentira javnosti, predstavničkim i izvršnim tijelima ciljeve i proračunska sredstva osigurana za provedbu zadanih ciljeva te rezultate provedbe zadanim programa. Mjerenje rezultata programa osigurava jasniju i učinkovitiju dodjelu sredstava. Naglasak je potrebno staviti na ciljeve koji se programima namjeravaju postići i pokazatelje uspješnosti realizacije tih ciljeva.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cilja nekog programa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mora dati odgovor na to što se programom želi postići, kako se nastoji realizirati i tko je korisnik ili primatelj usluge. Važno je istaknuti uštede do kojih će dovesti realizacija utvrđenih ciljeva i objasniti posljedice koje bi nastale u slučaju neprovedbe programa u predloženom obuhvati ili predviđenom razdoblju. Potrebno je navesti ishodište i pokazatelje na kojima se zasnivaju izračuni i ocjene potrebnih sredstava za provođenje programa, odnosno aktivnosti/projekta.</w:t>
      </w:r>
    </w:p>
    <w:p w14:paraId="276325C7" w14:textId="77777777" w:rsidR="00BC06C9" w:rsidRPr="002D78D5" w:rsidRDefault="00BC06C9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F41415" w14:textId="22B9F4AA" w:rsidR="00054E26" w:rsidRPr="00BC06C9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Proračunski korisnici imaju obvezu usklađivanja svog financijskog plana s donesenim Proračunom Grada Čazme i drugim proračunima iz kojih se financiraju. Financijski plan za </w:t>
      </w:r>
      <w:r w:rsidRPr="00BC06C9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razdoblje 202</w:t>
      </w:r>
      <w:r w:rsidR="009C2B8E" w:rsidRPr="00BC06C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C06C9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 w:rsidR="009C2B8E" w:rsidRPr="00BC06C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6C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mora biti donesen do 31. 12. 202</w:t>
      </w:r>
      <w:r w:rsidR="009C2B8E" w:rsidRPr="00BC06C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C06C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6A8A6368" w14:textId="77777777" w:rsidR="00BC06C9" w:rsidRPr="00BC06C9" w:rsidRDefault="00BC06C9" w:rsidP="00BC0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C06C9">
        <w:rPr>
          <w:rFonts w:ascii="Times New Roman" w:hAnsi="Times New Roman" w:cs="Times New Roman"/>
          <w:sz w:val="24"/>
          <w:szCs w:val="24"/>
          <w14:ligatures w14:val="standardContextual"/>
        </w:rPr>
        <w:t>U slučaju da postoje razlike u financijskom planu proračunskog korisnika sadržanom u</w:t>
      </w:r>
    </w:p>
    <w:p w14:paraId="5A147AA0" w14:textId="77777777" w:rsidR="00BC06C9" w:rsidRPr="00BC06C9" w:rsidRDefault="00BC06C9" w:rsidP="00BC0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C06C9">
        <w:rPr>
          <w:rFonts w:ascii="Times New Roman" w:hAnsi="Times New Roman" w:cs="Times New Roman"/>
          <w:sz w:val="24"/>
          <w:szCs w:val="24"/>
          <w14:ligatures w14:val="standardContextual"/>
        </w:rPr>
        <w:t>proračunu, kojeg je donijelo predstavničko tijelo, u odnosu na već usvojeni prijedlog</w:t>
      </w:r>
    </w:p>
    <w:p w14:paraId="5EB130E7" w14:textId="77777777" w:rsidR="00BC06C9" w:rsidRPr="00BC06C9" w:rsidRDefault="00BC06C9" w:rsidP="00BC0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C06C9">
        <w:rPr>
          <w:rFonts w:ascii="Times New Roman" w:hAnsi="Times New Roman" w:cs="Times New Roman"/>
          <w:sz w:val="24"/>
          <w:szCs w:val="24"/>
          <w14:ligatures w14:val="standardContextual"/>
        </w:rPr>
        <w:t>financijskog plana od strane upravljačkog tijela, tada je upravno tijelo nadležno za financije</w:t>
      </w:r>
    </w:p>
    <w:p w14:paraId="02641AD9" w14:textId="7CB0E7EF" w:rsidR="00BC06C9" w:rsidRPr="00BC06C9" w:rsidRDefault="00BC06C9" w:rsidP="00BC0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d</w:t>
      </w:r>
      <w:r w:rsidRPr="00BC06C9">
        <w:rPr>
          <w:rFonts w:ascii="Times New Roman" w:hAnsi="Times New Roman" w:cs="Times New Roman"/>
          <w:sz w:val="24"/>
          <w:szCs w:val="24"/>
          <w14:ligatures w14:val="standardContextual"/>
        </w:rPr>
        <w:t>užno obavijestiti upravno tijelo koje je nadležno za proračunskog korisnika, a nadležno</w:t>
      </w:r>
    </w:p>
    <w:p w14:paraId="5566AF07" w14:textId="77777777" w:rsidR="00BC06C9" w:rsidRPr="00BC06C9" w:rsidRDefault="00BC06C9" w:rsidP="00BC0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C06C9">
        <w:rPr>
          <w:rFonts w:ascii="Times New Roman" w:hAnsi="Times New Roman" w:cs="Times New Roman"/>
          <w:sz w:val="24"/>
          <w:szCs w:val="24"/>
          <w14:ligatures w14:val="standardContextual"/>
        </w:rPr>
        <w:t>upravno tijelo je dužno obavijestiti proračunskog korisnika iz svoje nadležnosti o</w:t>
      </w:r>
    </w:p>
    <w:p w14:paraId="0AFF5393" w14:textId="77777777" w:rsidR="00BC06C9" w:rsidRDefault="00BC06C9" w:rsidP="00BC0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C06C9">
        <w:rPr>
          <w:rFonts w:ascii="Times New Roman" w:hAnsi="Times New Roman" w:cs="Times New Roman"/>
          <w:sz w:val="24"/>
          <w:szCs w:val="24"/>
          <w14:ligatures w14:val="standardContextual"/>
        </w:rPr>
        <w:t>promjenama financijskog plana koji je sadržan u proračunu u odnosu na usvojeni prijedlog</w:t>
      </w:r>
    </w:p>
    <w:p w14:paraId="0552806C" w14:textId="146893EB" w:rsidR="00BC06C9" w:rsidRDefault="00BC06C9" w:rsidP="00BC0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C06C9">
        <w:rPr>
          <w:rFonts w:ascii="Times New Roman" w:hAnsi="Times New Roman" w:cs="Times New Roman"/>
          <w:sz w:val="24"/>
          <w:szCs w:val="24"/>
          <w14:ligatures w14:val="standardContextual"/>
        </w:rPr>
        <w:t>financijskog plana. Ako dođe do navedene situacije, upravljačko tijelo usvaja financijski plan</w:t>
      </w:r>
    </w:p>
    <w:p w14:paraId="2DF388BD" w14:textId="6CC7D7BB" w:rsidR="00BC06C9" w:rsidRPr="00BC06C9" w:rsidRDefault="00BC06C9" w:rsidP="00BC0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C06C9">
        <w:rPr>
          <w:rFonts w:ascii="Times New Roman" w:hAnsi="Times New Roman" w:cs="Times New Roman"/>
          <w:sz w:val="24"/>
          <w:szCs w:val="24"/>
          <w14:ligatures w14:val="standardContextual"/>
        </w:rPr>
        <w:t>koji je sadržan u proračunu kojeg je donijelo predstavničko tijelo.</w:t>
      </w:r>
    </w:p>
    <w:p w14:paraId="424CFC12" w14:textId="77777777" w:rsidR="00BC06C9" w:rsidRPr="00BC06C9" w:rsidRDefault="00BC06C9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531094" w14:textId="77777777" w:rsidR="0016371D" w:rsidRDefault="0016371D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EBC4A8" w14:textId="77777777" w:rsidR="0016371D" w:rsidRDefault="0016371D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B32D83" w14:textId="48AFEB89" w:rsidR="00054E26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Odgovorna osoba proračunskog korisnika odgovorna je za zakonito i pravilno planiranje i izvršavanje financijskog plana.</w:t>
      </w:r>
    </w:p>
    <w:p w14:paraId="60E5EA28" w14:textId="77777777" w:rsidR="00054E26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54EC20" w14:textId="77777777" w:rsidR="00054E26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F38189" w14:textId="77777777" w:rsidR="00054E26" w:rsidRDefault="00054E26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D43522" w14:textId="77777777" w:rsidR="00813967" w:rsidRDefault="00813967" w:rsidP="00054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35D385" w14:textId="77777777" w:rsidR="0016371D" w:rsidRDefault="0016371D" w:rsidP="00163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544908" w14:textId="422345B4" w:rsidR="0016371D" w:rsidRPr="002D78D5" w:rsidRDefault="0016371D" w:rsidP="00163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METODOLOGIJA ZA IZRADU PRIJEDLOGA FINANCIJSKOG PLANA</w:t>
      </w:r>
    </w:p>
    <w:p w14:paraId="4082981D" w14:textId="77777777" w:rsidR="0016371D" w:rsidRPr="002D78D5" w:rsidRDefault="0016371D" w:rsidP="00163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PRORAČUNSKIH KORISNIKA GRADA ČAZME</w:t>
      </w:r>
    </w:p>
    <w:p w14:paraId="6D127310" w14:textId="77777777" w:rsidR="0016371D" w:rsidRPr="002D78D5" w:rsidRDefault="0016371D" w:rsidP="00163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7D5278B" w14:textId="77777777" w:rsidR="0016371D" w:rsidRPr="002D78D5" w:rsidRDefault="0016371D" w:rsidP="00163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Svi proračunski korisnici Grada Čazme obvezni su:</w:t>
      </w:r>
    </w:p>
    <w:p w14:paraId="475AEDB7" w14:textId="77777777" w:rsidR="0016371D" w:rsidRPr="002D78D5" w:rsidRDefault="0016371D" w:rsidP="0016371D">
      <w:pPr>
        <w:spacing w:after="0" w:line="240" w:lineRule="auto"/>
        <w:ind w:left="15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065E66D1" w14:textId="77777777" w:rsidR="0016371D" w:rsidRPr="002D78D5" w:rsidRDefault="0016371D" w:rsidP="00163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- izraditi Prijedloge financijskih planova za razdoblje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u skladu s odredbama Zakona o proračunu i pri tome se pridržavati ovih Uputa,</w:t>
      </w:r>
    </w:p>
    <w:p w14:paraId="6E9B1187" w14:textId="77777777" w:rsidR="0016371D" w:rsidRDefault="0016371D" w:rsidP="00163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- dostaviti ih nadležnom Upravnom odjelu Grada Čazme.</w:t>
      </w:r>
    </w:p>
    <w:p w14:paraId="4DFC4B53" w14:textId="77777777" w:rsidR="0016371D" w:rsidRPr="002D78D5" w:rsidRDefault="0016371D" w:rsidP="00163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Upravna vijeća i ostala upravljačka tijela proračunskih korisnika dužni su usvojiti financijski plan i projekcije za slijedeće dvije godine na drugoj razini do kraja kalendarske godine kako bi se od 01. siječnja 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 godine mogle preuzimati i izvršavati nove obveze.</w:t>
      </w:r>
    </w:p>
    <w:p w14:paraId="62E27C8D" w14:textId="77777777" w:rsidR="0016371D" w:rsidRPr="002D78D5" w:rsidRDefault="0016371D" w:rsidP="00163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Kod predlaganja raspodjele javnih prihoda treba se voditi kriterijem potreba krajnjih korisnika sredstava te dati prednost programima koji zadovoljavaju potrebu najveće grupacije korisnika. Predlaganje programa radi uvrštenja u gradski proračun ukazuje na stupanj javne odgovornosti predlagača, a sve u funkciji ostvarenja javnih ciljeva.</w:t>
      </w:r>
    </w:p>
    <w:p w14:paraId="25D11F6A" w14:textId="77777777" w:rsidR="0016371D" w:rsidRPr="002D78D5" w:rsidRDefault="0016371D" w:rsidP="00163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Nakon primitka kompletne dokumentacije od proračunskih korisnika, Upravni odjeli procjenjuju zahtjeve i pripremaju prijedlog zajedničkog i objedinjenog financijskog plana Odjela, te dostavljaju u Upravni odjel za proračun, komunalno gospodarstvo, gospodarstvo, zaštitu okoliša i ekologiju na daljnju obradu.</w:t>
      </w:r>
    </w:p>
    <w:p w14:paraId="62AEF874" w14:textId="77777777" w:rsidR="0016371D" w:rsidRPr="002D78D5" w:rsidRDefault="0016371D" w:rsidP="00163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Upravni odjel za proračun, komunalno gospodarstvo, gospodarstvo, zaštitu okoliša i ekologiju priprema Nacrt Proračuna (uravnoteženje prihoda i rashoda) i Projekcije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i 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dostavlja ga Gradonačelniku. </w:t>
      </w:r>
    </w:p>
    <w:p w14:paraId="6D7E56E6" w14:textId="77777777" w:rsidR="0016371D" w:rsidRPr="002D78D5" w:rsidRDefault="0016371D" w:rsidP="00163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Gradonačelnik utvrđuje Prijedlog Proračuna i dostavlja ga na razmatranje Odboru za financije i  proračun. Istovremeno, uz prijedlog Proračuna, upravni odjeli Grada dužni su dostaviti svoje programe rada i aktivnosti koji su u vezi s financijskim planom i strateškim ciljevima, te Prijedloge Programa javnih potreba Grada Čazme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</w:p>
    <w:p w14:paraId="22D8B0D0" w14:textId="77777777" w:rsidR="0016371D" w:rsidRPr="002D78D5" w:rsidRDefault="0016371D" w:rsidP="00163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Nacrt Proračuna Grada Čazme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projekcije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g. Gradonačelnik upućuje predstavničkom tijelu na donošenje.</w:t>
      </w:r>
    </w:p>
    <w:p w14:paraId="6E03EDC2" w14:textId="77777777" w:rsidR="0016371D" w:rsidRPr="002D78D5" w:rsidRDefault="0016371D" w:rsidP="00163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U tijeku rasprave o prijedlogu Proračuna, podneseni amandmani kojima se predlaže povećanje rashoda iznad iznosa utvrđenih prijedlogom, mogu se prihvatiti pod uvjetom da se</w:t>
      </w:r>
      <w:r w:rsidRPr="002D78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istodobno predloži smanjenje nekih drugih rashoda, ali ne smiju biti na teret proračunske zalihe. </w:t>
      </w:r>
    </w:p>
    <w:p w14:paraId="27C50F48" w14:textId="77777777" w:rsidR="0016371D" w:rsidRPr="002D78D5" w:rsidRDefault="0016371D" w:rsidP="00163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mora donijeti Proračun Grada za razdoblje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 kraja tekuće godine, odnosno do 31.12 202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5FC0412E" w14:textId="77777777" w:rsidR="007B60EF" w:rsidRDefault="007B60EF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B7689EE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8120E7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33F31B2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DBD779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4399F4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A68815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CB576C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5F9472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914156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1F44B7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B3FFB07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0A15E48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EF0900" w14:textId="77777777" w:rsidR="007B60EF" w:rsidRDefault="007B60EF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27C4FB6" w14:textId="77777777" w:rsidR="00541C9E" w:rsidRDefault="00541C9E" w:rsidP="007B60E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  <w14:ligatures w14:val="standardContextual"/>
        </w:rPr>
      </w:pPr>
    </w:p>
    <w:p w14:paraId="09D5A0F6" w14:textId="77777777" w:rsidR="00541C9E" w:rsidRDefault="00541C9E" w:rsidP="007B60E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  <w14:ligatures w14:val="standardContextual"/>
        </w:rPr>
      </w:pPr>
    </w:p>
    <w:p w14:paraId="37DAD6F9" w14:textId="260ADD39" w:rsidR="007B60EF" w:rsidRDefault="007B60EF" w:rsidP="007B60E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  <w14:ligatures w14:val="standardContextual"/>
        </w:rPr>
      </w:pPr>
      <w:r>
        <w:rPr>
          <w:rFonts w:ascii="CIDFont+F3" w:hAnsi="CIDFont+F3" w:cs="CIDFont+F3"/>
          <w:sz w:val="23"/>
          <w:szCs w:val="23"/>
          <w14:ligatures w14:val="standardContextual"/>
        </w:rPr>
        <w:lastRenderedPageBreak/>
        <w:t>Detaljni prikaz sadržaja financijskog plana proračunskog korisnika dan je</w:t>
      </w:r>
    </w:p>
    <w:p w14:paraId="79A667B7" w14:textId="3869D4AD" w:rsidR="007B60EF" w:rsidRDefault="007B60EF" w:rsidP="007B6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CIDFont+F3" w:hAnsi="CIDFont+F3" w:cs="CIDFont+F3"/>
          <w:sz w:val="23"/>
          <w:szCs w:val="23"/>
          <w14:ligatures w14:val="standardContextual"/>
        </w:rPr>
        <w:t xml:space="preserve">u </w:t>
      </w:r>
      <w:r>
        <w:rPr>
          <w:rFonts w:ascii="CIDFont+F7" w:hAnsi="CIDFont+F7" w:cs="CIDFont+F7"/>
          <w:sz w:val="23"/>
          <w:szCs w:val="23"/>
          <w14:ligatures w14:val="standardContextual"/>
        </w:rPr>
        <w:t xml:space="preserve">Tablici 2. </w:t>
      </w:r>
    </w:p>
    <w:p w14:paraId="7DC252C3" w14:textId="457CAA8E" w:rsidR="007B60EF" w:rsidRDefault="007B60EF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noProof/>
          <w14:ligatures w14:val="standardContextual"/>
        </w:rPr>
        <w:drawing>
          <wp:inline distT="0" distB="0" distL="0" distR="0" wp14:anchorId="5AA7EFF0" wp14:editId="55D4524A">
            <wp:extent cx="4974609" cy="8147050"/>
            <wp:effectExtent l="0" t="0" r="0" b="6350"/>
            <wp:docPr id="16727432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43254" name=""/>
                    <pic:cNvPicPr/>
                  </pic:nvPicPr>
                  <pic:blipFill rotWithShape="1">
                    <a:blip r:embed="rId12"/>
                    <a:srcRect r="13646"/>
                    <a:stretch/>
                  </pic:blipFill>
                  <pic:spPr bwMode="auto">
                    <a:xfrm>
                      <a:off x="0" y="0"/>
                      <a:ext cx="4974609" cy="814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CA1B50" w14:textId="77777777" w:rsidR="007B60EF" w:rsidRDefault="007B60EF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6682C9" w14:textId="70E980B3" w:rsidR="007B60EF" w:rsidRDefault="00751B15" w:rsidP="00054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751B1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lastRenderedPageBreak/>
        <w:t>ROKOVI ZA PREDLAGANJE I DONOŠENJE FINANCIJSKOG PLANA PRORAČUNSKIH KORISNIKA</w:t>
      </w:r>
    </w:p>
    <w:p w14:paraId="308BF70D" w14:textId="77777777" w:rsidR="008E4EA6" w:rsidRDefault="008E4EA6" w:rsidP="00054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5DA8B561" w14:textId="77777777" w:rsidR="008E4EA6" w:rsidRDefault="008E4EA6" w:rsidP="00054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3EE3C40F" w14:textId="77777777" w:rsidR="00751B15" w:rsidRDefault="00751B15" w:rsidP="00054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58"/>
        <w:gridCol w:w="2259"/>
        <w:gridCol w:w="1466"/>
        <w:gridCol w:w="3079"/>
      </w:tblGrid>
      <w:tr w:rsidR="00751B15" w:rsidRPr="007E4409" w14:paraId="337548D6" w14:textId="77777777" w:rsidTr="007E4409">
        <w:tc>
          <w:tcPr>
            <w:tcW w:w="2265" w:type="dxa"/>
          </w:tcPr>
          <w:p w14:paraId="1E77F39B" w14:textId="57D6AC5B" w:rsidR="00751B15" w:rsidRPr="007E4409" w:rsidRDefault="00751B15" w:rsidP="007E4409">
            <w:pPr>
              <w:jc w:val="center"/>
              <w:rPr>
                <w:b/>
                <w:bCs/>
                <w:sz w:val="24"/>
                <w:szCs w:val="24"/>
              </w:rPr>
            </w:pPr>
            <w:r w:rsidRPr="007E4409">
              <w:rPr>
                <w:rFonts w:ascii="CIDFont+F2" w:hAnsi="CIDFont+F2" w:cs="CIDFont+F2"/>
                <w:b/>
                <w:bCs/>
                <w:sz w:val="21"/>
                <w:szCs w:val="21"/>
                <w14:ligatures w14:val="standardContextual"/>
              </w:rPr>
              <w:t>TKO?</w:t>
            </w:r>
          </w:p>
        </w:tc>
        <w:tc>
          <w:tcPr>
            <w:tcW w:w="2265" w:type="dxa"/>
          </w:tcPr>
          <w:p w14:paraId="7AC933E2" w14:textId="7C4E2FBF" w:rsidR="00751B15" w:rsidRPr="007E4409" w:rsidRDefault="00751B15" w:rsidP="007E4409">
            <w:pPr>
              <w:jc w:val="center"/>
              <w:rPr>
                <w:b/>
                <w:bCs/>
                <w:sz w:val="24"/>
                <w:szCs w:val="24"/>
              </w:rPr>
            </w:pPr>
            <w:r w:rsidRPr="007E4409">
              <w:rPr>
                <w:rFonts w:ascii="CIDFont+F2" w:hAnsi="CIDFont+F2" w:cs="CIDFont+F2"/>
                <w:b/>
                <w:bCs/>
                <w:sz w:val="21"/>
                <w:szCs w:val="21"/>
                <w14:ligatures w14:val="standardContextual"/>
              </w:rPr>
              <w:t>KOME?</w:t>
            </w:r>
          </w:p>
        </w:tc>
        <w:tc>
          <w:tcPr>
            <w:tcW w:w="1439" w:type="dxa"/>
          </w:tcPr>
          <w:p w14:paraId="13D8563F" w14:textId="67E660B4" w:rsidR="00751B15" w:rsidRPr="007E4409" w:rsidRDefault="00751B15" w:rsidP="007E4409">
            <w:pPr>
              <w:jc w:val="center"/>
              <w:rPr>
                <w:b/>
                <w:bCs/>
                <w:sz w:val="24"/>
                <w:szCs w:val="24"/>
              </w:rPr>
            </w:pPr>
            <w:r w:rsidRPr="007E4409">
              <w:rPr>
                <w:rFonts w:ascii="CIDFont+F2" w:hAnsi="CIDFont+F2" w:cs="CIDFont+F2"/>
                <w:b/>
                <w:bCs/>
                <w:sz w:val="21"/>
                <w:szCs w:val="21"/>
                <w14:ligatures w14:val="standardContextual"/>
              </w:rPr>
              <w:t>PREPORUČENI ROK</w:t>
            </w:r>
          </w:p>
        </w:tc>
        <w:tc>
          <w:tcPr>
            <w:tcW w:w="3093" w:type="dxa"/>
          </w:tcPr>
          <w:p w14:paraId="6D716D26" w14:textId="41C4B4F4" w:rsidR="00751B15" w:rsidRPr="007E4409" w:rsidRDefault="007E4409" w:rsidP="007E4409">
            <w:pPr>
              <w:jc w:val="center"/>
              <w:rPr>
                <w:b/>
                <w:bCs/>
                <w:sz w:val="24"/>
                <w:szCs w:val="24"/>
              </w:rPr>
            </w:pPr>
            <w:r w:rsidRPr="007E4409">
              <w:rPr>
                <w:rFonts w:ascii="CIDFont+F2" w:hAnsi="CIDFont+F2" w:cs="CIDFont+F2"/>
                <w:b/>
                <w:bCs/>
                <w:sz w:val="21"/>
                <w:szCs w:val="21"/>
                <w14:ligatures w14:val="standardContextual"/>
              </w:rPr>
              <w:t>NAPOMENA</w:t>
            </w:r>
          </w:p>
        </w:tc>
      </w:tr>
      <w:tr w:rsidR="007E4409" w14:paraId="518DBBE6" w14:textId="77777777" w:rsidTr="007E4409">
        <w:tc>
          <w:tcPr>
            <w:tcW w:w="2265" w:type="dxa"/>
          </w:tcPr>
          <w:p w14:paraId="18CFC441" w14:textId="7777777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Čelnik</w:t>
            </w:r>
          </w:p>
          <w:p w14:paraId="75A8A5C3" w14:textId="7777777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proračunskog</w:t>
            </w:r>
          </w:p>
          <w:p w14:paraId="4C0BAD3F" w14:textId="77777777" w:rsidR="007E4409" w:rsidRDefault="007E4409" w:rsidP="007E4409">
            <w:pPr>
              <w:rPr>
                <w:rFonts w:ascii="CIDFont+F3" w:hAnsi="CIDFont+F3" w:cs="CIDFont+F3"/>
                <w:sz w:val="21"/>
                <w:szCs w:val="21"/>
                <w:u w:val="single"/>
                <w14:ligatures w14:val="standardContextual"/>
              </w:rPr>
            </w:pPr>
            <w:r w:rsidRPr="007E4409">
              <w:rPr>
                <w:rFonts w:ascii="CIDFont+F3" w:hAnsi="CIDFont+F3" w:cs="CIDFont+F3"/>
                <w:sz w:val="21"/>
                <w:szCs w:val="21"/>
                <w:u w:val="single"/>
                <w14:ligatures w14:val="standardContextual"/>
              </w:rPr>
              <w:t>korisnika JLP(R)S</w:t>
            </w:r>
            <w:r>
              <w:rPr>
                <w:rFonts w:ascii="CIDFont+F3" w:hAnsi="CIDFont+F3" w:cs="CIDFont+F3"/>
                <w:sz w:val="21"/>
                <w:szCs w:val="21"/>
                <w:u w:val="single"/>
                <w14:ligatures w14:val="standardContextual"/>
              </w:rPr>
              <w:t>______</w:t>
            </w:r>
          </w:p>
          <w:p w14:paraId="574151BB" w14:textId="77777777" w:rsidR="0016371D" w:rsidRDefault="0016371D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446499A9" w14:textId="1888E83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Proračunski</w:t>
            </w:r>
          </w:p>
          <w:p w14:paraId="6267C53B" w14:textId="7777777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korisnik JLP(R)S</w:t>
            </w:r>
          </w:p>
          <w:p w14:paraId="4206444C" w14:textId="7777777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(škole, vrtići,</w:t>
            </w:r>
          </w:p>
          <w:p w14:paraId="29D65496" w14:textId="0576E59D" w:rsidR="007E4409" w:rsidRDefault="007E4409" w:rsidP="007E4409">
            <w:pPr>
              <w:rPr>
                <w:rFonts w:ascii="CIDFont+F3" w:hAnsi="CIDFont+F3" w:cs="CIDFont+F3"/>
                <w:sz w:val="21"/>
                <w:szCs w:val="21"/>
                <w:u w:val="single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knjižnice…)</w:t>
            </w:r>
          </w:p>
          <w:p w14:paraId="293183D2" w14:textId="13EE85B2" w:rsidR="007E4409" w:rsidRPr="007E4409" w:rsidRDefault="007E4409" w:rsidP="007E4409">
            <w:pPr>
              <w:rPr>
                <w:rFonts w:ascii="CIDFont+F3" w:hAnsi="CIDFont+F3" w:cs="CIDFont+F3"/>
                <w:sz w:val="21"/>
                <w:szCs w:val="21"/>
                <w:u w:val="single"/>
                <w14:ligatures w14:val="standardContextual"/>
              </w:rPr>
            </w:pPr>
          </w:p>
        </w:tc>
        <w:tc>
          <w:tcPr>
            <w:tcW w:w="2265" w:type="dxa"/>
          </w:tcPr>
          <w:p w14:paraId="31E5C466" w14:textId="77777777" w:rsidR="007E4409" w:rsidRDefault="007E4409" w:rsidP="00751B15">
            <w:pP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</w:pPr>
            <w: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  <w:t>Upravljačkom tijelu</w:t>
            </w:r>
          </w:p>
          <w:p w14:paraId="4A3EE6B6" w14:textId="77777777" w:rsidR="007E4409" w:rsidRDefault="007E4409" w:rsidP="00751B15">
            <w:pP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</w:pPr>
          </w:p>
          <w:p w14:paraId="2C94209B" w14:textId="77777777" w:rsidR="007E4409" w:rsidRDefault="007E4409" w:rsidP="00751B15">
            <w:pPr>
              <w:pBdr>
                <w:bottom w:val="single" w:sz="12" w:space="1" w:color="auto"/>
              </w:pBd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</w:pPr>
          </w:p>
          <w:p w14:paraId="37DF0F50" w14:textId="77777777" w:rsidR="0016371D" w:rsidRDefault="0016371D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447FFD9A" w14:textId="7FE96545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Nadležnom</w:t>
            </w:r>
          </w:p>
          <w:p w14:paraId="6B9AE155" w14:textId="4A772580" w:rsidR="007E4409" w:rsidRDefault="007E4409" w:rsidP="007E4409">
            <w:pP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upravnom tijelu u JLPRS</w:t>
            </w:r>
          </w:p>
        </w:tc>
        <w:tc>
          <w:tcPr>
            <w:tcW w:w="1439" w:type="dxa"/>
          </w:tcPr>
          <w:p w14:paraId="7923E32E" w14:textId="77777777" w:rsidR="007E4409" w:rsidRDefault="007E4409" w:rsidP="00751B15">
            <w:pP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</w:pPr>
          </w:p>
          <w:p w14:paraId="60B3A6A9" w14:textId="77777777" w:rsidR="008E4EA6" w:rsidRDefault="008E4EA6" w:rsidP="00751B15">
            <w:pP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</w:pPr>
          </w:p>
          <w:p w14:paraId="5F7E80E3" w14:textId="670D8AD1" w:rsidR="007E4409" w:rsidRDefault="008E4EA6" w:rsidP="00751B15">
            <w:pP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</w:pPr>
            <w: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  <w:t>do</w:t>
            </w:r>
          </w:p>
          <w:p w14:paraId="2FC3761D" w14:textId="3DC897B5" w:rsidR="007E4409" w:rsidRDefault="007E4409" w:rsidP="00751B15">
            <w:pP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</w:pPr>
            <w: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  <w:t>10. listopada</w:t>
            </w:r>
          </w:p>
        </w:tc>
        <w:tc>
          <w:tcPr>
            <w:tcW w:w="3093" w:type="dxa"/>
          </w:tcPr>
          <w:p w14:paraId="09BA8E5C" w14:textId="768ABEFA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Prije dostave prijedloga financijskog  plana nadležnom upravnom tijelu,</w:t>
            </w:r>
          </w:p>
          <w:p w14:paraId="308BE9FD" w14:textId="3BCF51AF" w:rsidR="007E4409" w:rsidRDefault="007E4409" w:rsidP="007E440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</w:pPr>
            <w: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  <w:t>čelnik proračunskog korisnika obvezan je prijedlog financijskog</w:t>
            </w:r>
          </w:p>
          <w:p w14:paraId="7896F04D" w14:textId="79FAC790" w:rsidR="007E4409" w:rsidRDefault="007E4409" w:rsidP="007E440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</w:pPr>
            <w: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  <w:t>plana uputiti upravljačkom tijelu na usvajanje</w:t>
            </w: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, ako je primjenjivo, u skladu s aktima kojima je uređen rad proračunskog korisnika.</w:t>
            </w:r>
          </w:p>
        </w:tc>
      </w:tr>
      <w:tr w:rsidR="007E4409" w14:paraId="2D40A516" w14:textId="77777777" w:rsidTr="007E4409">
        <w:tc>
          <w:tcPr>
            <w:tcW w:w="2265" w:type="dxa"/>
          </w:tcPr>
          <w:p w14:paraId="6C85DACD" w14:textId="77777777" w:rsidR="008E4EA6" w:rsidRDefault="008E4EA6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1FC8359F" w14:textId="77777777" w:rsidR="008E4EA6" w:rsidRDefault="008E4EA6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32F0EFBD" w14:textId="77777777" w:rsidR="008E4EA6" w:rsidRDefault="008E4EA6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5C4C5390" w14:textId="5EBDD06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Nadležna</w:t>
            </w:r>
          </w:p>
          <w:p w14:paraId="6AD0BBFE" w14:textId="4379903A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upravna tijela u JLP(R)S</w:t>
            </w:r>
          </w:p>
        </w:tc>
        <w:tc>
          <w:tcPr>
            <w:tcW w:w="2265" w:type="dxa"/>
          </w:tcPr>
          <w:p w14:paraId="4216F2E5" w14:textId="77777777" w:rsidR="008E4EA6" w:rsidRDefault="008E4EA6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5C1B9E47" w14:textId="77777777" w:rsidR="008E4EA6" w:rsidRDefault="008E4EA6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09790E08" w14:textId="77777777" w:rsidR="008E4EA6" w:rsidRDefault="008E4EA6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6DCC5F38" w14:textId="2A93F70A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Upravnom tijelu</w:t>
            </w:r>
          </w:p>
          <w:p w14:paraId="546DCE38" w14:textId="7777777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nadležnom za</w:t>
            </w:r>
          </w:p>
          <w:p w14:paraId="64C8FA61" w14:textId="138D2352" w:rsidR="007E4409" w:rsidRDefault="007E4409" w:rsidP="007E4409">
            <w:pP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financije</w:t>
            </w:r>
          </w:p>
        </w:tc>
        <w:tc>
          <w:tcPr>
            <w:tcW w:w="1439" w:type="dxa"/>
          </w:tcPr>
          <w:p w14:paraId="41A26248" w14:textId="77777777" w:rsidR="008E4EA6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 xml:space="preserve"> </w:t>
            </w:r>
          </w:p>
          <w:p w14:paraId="7D025ABF" w14:textId="77777777" w:rsidR="008E4EA6" w:rsidRDefault="008E4EA6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722CADF2" w14:textId="77777777" w:rsidR="008E4EA6" w:rsidRDefault="008E4EA6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2F2CCAC8" w14:textId="6A5FA43D" w:rsidR="008E4EA6" w:rsidRDefault="008E4EA6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do</w:t>
            </w:r>
          </w:p>
          <w:p w14:paraId="49FD7D83" w14:textId="5E604B12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13. listopada</w:t>
            </w:r>
          </w:p>
          <w:p w14:paraId="0D3A45DD" w14:textId="6FD8B9E0" w:rsidR="007E4409" w:rsidRDefault="007E4409" w:rsidP="007E4409">
            <w:pP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</w:pPr>
          </w:p>
        </w:tc>
        <w:tc>
          <w:tcPr>
            <w:tcW w:w="3093" w:type="dxa"/>
          </w:tcPr>
          <w:p w14:paraId="7829B520" w14:textId="7777777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Nadležna upravna tijela u JLP(R)S</w:t>
            </w:r>
          </w:p>
          <w:p w14:paraId="73167B4B" w14:textId="7777777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dostavljaju prijedlog svog</w:t>
            </w:r>
          </w:p>
          <w:p w14:paraId="4084D106" w14:textId="7777777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financijskog plana i prijedloge</w:t>
            </w:r>
          </w:p>
          <w:p w14:paraId="4253B8DC" w14:textId="7777777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financijskih planova proračunskih</w:t>
            </w:r>
          </w:p>
          <w:p w14:paraId="20E7960F" w14:textId="7777777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korisnika iz svoje nadležnosti.</w:t>
            </w:r>
          </w:p>
          <w:p w14:paraId="0F96F4F9" w14:textId="53A30B37" w:rsidR="007E4409" w:rsidRDefault="007E4409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  <w:t xml:space="preserve">Prije dostave </w:t>
            </w: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 xml:space="preserve">financijskih planova, nadležna upravna tijela u JLP(R)S dužna su </w:t>
            </w:r>
            <w:r>
              <w:rPr>
                <w:rFonts w:ascii="CIDFont+F2" w:hAnsi="CIDFont+F2" w:cs="CIDFont+F2"/>
                <w:sz w:val="21"/>
                <w:szCs w:val="21"/>
                <w14:ligatures w14:val="standardContextual"/>
              </w:rPr>
              <w:t xml:space="preserve">provjeriti točnost i istinitost podataka </w:t>
            </w: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navedenih u financijskim planovima.</w:t>
            </w:r>
          </w:p>
        </w:tc>
      </w:tr>
      <w:tr w:rsidR="008E4EA6" w14:paraId="0FCBD750" w14:textId="77777777" w:rsidTr="007E4409">
        <w:tc>
          <w:tcPr>
            <w:tcW w:w="2265" w:type="dxa"/>
          </w:tcPr>
          <w:p w14:paraId="1C15B760" w14:textId="77777777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Upravno tijelo</w:t>
            </w:r>
          </w:p>
          <w:p w14:paraId="0828AB0E" w14:textId="77777777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nadležno za</w:t>
            </w:r>
          </w:p>
          <w:p w14:paraId="08EB628F" w14:textId="1B36EF03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financije</w:t>
            </w:r>
          </w:p>
        </w:tc>
        <w:tc>
          <w:tcPr>
            <w:tcW w:w="2265" w:type="dxa"/>
          </w:tcPr>
          <w:p w14:paraId="1CC7314A" w14:textId="77777777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Izvršnom tijelu</w:t>
            </w:r>
          </w:p>
          <w:p w14:paraId="4930B37B" w14:textId="20BAAD2A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JLP(R)S</w:t>
            </w:r>
          </w:p>
        </w:tc>
        <w:tc>
          <w:tcPr>
            <w:tcW w:w="1439" w:type="dxa"/>
          </w:tcPr>
          <w:p w14:paraId="0E6910C7" w14:textId="77777777" w:rsidR="008E4EA6" w:rsidRDefault="008E4EA6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6C6263FA" w14:textId="2E3DA82A" w:rsidR="008E4EA6" w:rsidRDefault="008E4EA6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30. listopada</w:t>
            </w:r>
          </w:p>
        </w:tc>
        <w:tc>
          <w:tcPr>
            <w:tcW w:w="3093" w:type="dxa"/>
          </w:tcPr>
          <w:p w14:paraId="15A2560C" w14:textId="4CB3F152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Upravno tijelo nadležno za financije izrađuje nacrt proračuna te ga dostavlja gradonačelniku.</w:t>
            </w:r>
          </w:p>
        </w:tc>
      </w:tr>
      <w:tr w:rsidR="008E4EA6" w14:paraId="782EC06C" w14:textId="77777777" w:rsidTr="007E4409">
        <w:tc>
          <w:tcPr>
            <w:tcW w:w="2265" w:type="dxa"/>
          </w:tcPr>
          <w:p w14:paraId="53758223" w14:textId="77777777" w:rsidR="0016371D" w:rsidRDefault="0016371D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6149FCB9" w14:textId="5EA3F832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Izvršno tijelo</w:t>
            </w:r>
          </w:p>
          <w:p w14:paraId="791EB067" w14:textId="6E7126B0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JLP(R)S</w:t>
            </w:r>
          </w:p>
        </w:tc>
        <w:tc>
          <w:tcPr>
            <w:tcW w:w="2265" w:type="dxa"/>
          </w:tcPr>
          <w:p w14:paraId="65095433" w14:textId="77777777" w:rsidR="0016371D" w:rsidRDefault="0016371D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60B59EA0" w14:textId="5E0E48BD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Predstavničkom</w:t>
            </w:r>
          </w:p>
          <w:p w14:paraId="29625595" w14:textId="329341AF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tijelu JLP(R)S</w:t>
            </w:r>
          </w:p>
        </w:tc>
        <w:tc>
          <w:tcPr>
            <w:tcW w:w="1439" w:type="dxa"/>
          </w:tcPr>
          <w:p w14:paraId="18914821" w14:textId="77777777" w:rsidR="0016371D" w:rsidRDefault="0016371D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3C79F9D7" w14:textId="0E7423E2" w:rsidR="008E4EA6" w:rsidRDefault="008E4EA6" w:rsidP="007E4409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15. studenoga</w:t>
            </w:r>
          </w:p>
        </w:tc>
        <w:tc>
          <w:tcPr>
            <w:tcW w:w="3093" w:type="dxa"/>
          </w:tcPr>
          <w:p w14:paraId="2E72763D" w14:textId="229F7AFF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Gradonačelnik utvrđuje prijedlog proračuna i podnosi ga predstavničkom tijelu na donošenje.</w:t>
            </w:r>
          </w:p>
        </w:tc>
      </w:tr>
      <w:tr w:rsidR="008E4EA6" w14:paraId="2CC730FC" w14:textId="77777777" w:rsidTr="007E4409">
        <w:tc>
          <w:tcPr>
            <w:tcW w:w="2265" w:type="dxa"/>
          </w:tcPr>
          <w:p w14:paraId="71B8C021" w14:textId="77777777" w:rsidR="0016371D" w:rsidRDefault="0016371D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0A50F3C1" w14:textId="77777777" w:rsidR="0016371D" w:rsidRDefault="0016371D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23713A7A" w14:textId="57AFB21D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Predstavničko</w:t>
            </w:r>
          </w:p>
          <w:p w14:paraId="7A8A52F8" w14:textId="49DD1BA8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tijelo JLP(R)S</w:t>
            </w:r>
          </w:p>
        </w:tc>
        <w:tc>
          <w:tcPr>
            <w:tcW w:w="2265" w:type="dxa"/>
          </w:tcPr>
          <w:p w14:paraId="279DDEDE" w14:textId="77777777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</w:tc>
        <w:tc>
          <w:tcPr>
            <w:tcW w:w="1439" w:type="dxa"/>
          </w:tcPr>
          <w:p w14:paraId="5FF0BDCF" w14:textId="77777777" w:rsidR="0016371D" w:rsidRDefault="0016371D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136E6DBA" w14:textId="77777777" w:rsidR="0016371D" w:rsidRDefault="0016371D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  <w:p w14:paraId="479E6F07" w14:textId="31AEA14A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Do kraja tekuće</w:t>
            </w:r>
          </w:p>
          <w:p w14:paraId="24164479" w14:textId="77777777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2023.</w:t>
            </w:r>
          </w:p>
          <w:p w14:paraId="6E7BBE57" w14:textId="7E27A9DA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</w:p>
        </w:tc>
        <w:tc>
          <w:tcPr>
            <w:tcW w:w="3093" w:type="dxa"/>
          </w:tcPr>
          <w:p w14:paraId="1C420BB0" w14:textId="41328827" w:rsidR="008E4EA6" w:rsidRDefault="008E4EA6" w:rsidP="008E4EA6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</w:pPr>
            <w:r>
              <w:rPr>
                <w:rFonts w:ascii="CIDFont+F3" w:hAnsi="CIDFont+F3" w:cs="CIDFont+F3"/>
                <w:sz w:val="21"/>
                <w:szCs w:val="21"/>
                <w14:ligatures w14:val="standardContextual"/>
              </w:rPr>
              <w:t>Predstavničko tijelo donosi proračun za 2024. godinu i projekcije za 2025. i 2026. godinu do kraja tekuće 2023. godine, u roku koji omogućuje primjenu proračuna od 1. siječnja 2024. godine.</w:t>
            </w:r>
          </w:p>
        </w:tc>
      </w:tr>
    </w:tbl>
    <w:p w14:paraId="72C456B0" w14:textId="77777777" w:rsidR="00751B15" w:rsidRPr="00751B15" w:rsidRDefault="00751B15" w:rsidP="00751B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BE9DAB" w14:textId="77777777" w:rsidR="007B60EF" w:rsidRPr="00751B15" w:rsidRDefault="007B60EF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A7ABA85" w14:textId="77777777" w:rsidR="008E4EA6" w:rsidRDefault="008E4EA6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DEF5280" w14:textId="77777777" w:rsidR="008E4EA6" w:rsidRDefault="008E4EA6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2A0C4D6" w14:textId="77777777" w:rsidR="008E4EA6" w:rsidRDefault="008E4EA6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A9DDD4" w14:textId="77777777" w:rsidR="008E4EA6" w:rsidRDefault="008E4EA6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42268C" w14:textId="77777777" w:rsidR="008E4EA6" w:rsidRDefault="008E4EA6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35F4C2" w14:textId="77777777" w:rsidR="008E4EA6" w:rsidRDefault="008E4EA6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D3B4C56" w14:textId="77777777" w:rsidR="008E4EA6" w:rsidRDefault="008E4EA6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604973" w14:textId="77777777" w:rsidR="0016371D" w:rsidRDefault="0016371D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CB4F5C7" w14:textId="1E9F7E3E" w:rsidR="008E4EA6" w:rsidRDefault="0016371D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lastRenderedPageBreak/>
        <w:t>TRANSPARENTNOST PRORAČUNA</w:t>
      </w:r>
    </w:p>
    <w:p w14:paraId="02A4E9AF" w14:textId="77777777" w:rsidR="0016371D" w:rsidRPr="0016371D" w:rsidRDefault="0016371D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</w:p>
    <w:p w14:paraId="3545AFC1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Zakonom o proračunu propisana je obveza objave dokumenata i informacija o trošenju</w:t>
      </w:r>
    </w:p>
    <w:p w14:paraId="4D745E7F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sredstava. Kako bi se osiguralo ostvarenje načela transparentnosti i slobodan pristup</w:t>
      </w:r>
    </w:p>
    <w:p w14:paraId="045A10BF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informacijama kao i njihovo povezivanje, preuzimanje i ponovno korištenje materijali vezani</w:t>
      </w:r>
    </w:p>
    <w:p w14:paraId="0E41245D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uz proračun i njegove izmjene objavljuju se u formatu pogodnom za daljnju obradu (word i</w:t>
      </w:r>
    </w:p>
    <w:p w14:paraId="741CC75E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proofErr w:type="spellStart"/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excel</w:t>
      </w:r>
      <w:proofErr w:type="spellEnd"/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).</w:t>
      </w:r>
    </w:p>
    <w:p w14:paraId="0F195B36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Sukladno odredbama članka 144. Zakona o proračunu u nastavku navodimo obaveze vezano</w:t>
      </w:r>
    </w:p>
    <w:p w14:paraId="5ACCD60C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za transparentnost:</w:t>
      </w:r>
    </w:p>
    <w:p w14:paraId="7F3C635F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eastAsia="CIDFont+F6" w:hAnsi="Times New Roman" w:cs="Times New Roman"/>
          <w:color w:val="000000"/>
          <w:sz w:val="24"/>
          <w:szCs w:val="24"/>
          <w14:ligatures w14:val="standardContextual"/>
        </w:rPr>
        <w:t xml:space="preserve"> 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Proračun i izmjene i dopune proračuna, odluka o privremenom financiranju, odluka i</w:t>
      </w:r>
    </w:p>
    <w:p w14:paraId="4ABD2B9F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izmjene i dopune odluke o izvršavanju proračuna jedinica lokalne i područne</w:t>
      </w:r>
    </w:p>
    <w:p w14:paraId="563F5332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(regionalne) samouprave, financijski planovi i izmjene i dopune financijskih planova</w:t>
      </w:r>
    </w:p>
    <w:p w14:paraId="5667763C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izvanproračunskih korisnika, polugodišnji i godišnji izvještaj o izvršenju proračuna te</w:t>
      </w:r>
    </w:p>
    <w:p w14:paraId="5A2FCA2A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polugodišnji i godišnji izvještaj o izvršenju financijskog plana izvanproračunskog</w:t>
      </w:r>
    </w:p>
    <w:p w14:paraId="766B9C73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korisnika objavljuju se na mrežnim stranicama jedinica lokalne i područne (regionalne)</w:t>
      </w:r>
    </w:p>
    <w:p w14:paraId="195DD6E6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samouprave i izvanproračunskog korisnika,</w:t>
      </w:r>
    </w:p>
    <w:p w14:paraId="4009F76B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eastAsia="CIDFont+F6" w:hAnsi="Times New Roman" w:cs="Times New Roman"/>
          <w:color w:val="000000"/>
          <w:sz w:val="24"/>
          <w:szCs w:val="24"/>
          <w14:ligatures w14:val="standardContextual"/>
        </w:rPr>
        <w:t xml:space="preserve"> 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Financijski plan i izmjene i dopune financijskog plana, polugodišnji i godišnji izvještaj o</w:t>
      </w:r>
    </w:p>
    <w:p w14:paraId="596590BF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izvršenju financijskog plana proračunskog korisnika objavljuje se na njegovim mrežnim</w:t>
      </w:r>
    </w:p>
    <w:p w14:paraId="286ED72A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stranicama, odnosno na mrežnim stranicama jedinica lokalne i područne (regionalne)</w:t>
      </w:r>
    </w:p>
    <w:p w14:paraId="3F412FB0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samouprave ako proračunski korisnik nema svoje mrežne stranice,</w:t>
      </w:r>
    </w:p>
    <w:p w14:paraId="42CF4D14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eastAsia="CIDFont+F6" w:hAnsi="Times New Roman" w:cs="Times New Roman"/>
          <w:color w:val="000000"/>
          <w:sz w:val="24"/>
          <w:szCs w:val="24"/>
          <w14:ligatures w14:val="standardContextual"/>
        </w:rPr>
        <w:t xml:space="preserve"> 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Opći i posebni dio proračuna, odluka o izvršavanju proračuna jedinica lokalne i</w:t>
      </w:r>
    </w:p>
    <w:p w14:paraId="25CCBF73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područne (regionalne) samouprave, izmjene i dopune proračuna te izmjene i dopune</w:t>
      </w:r>
    </w:p>
    <w:p w14:paraId="3AD967AF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odluke o izvršavanju proračuna, odluka o privremenom financiranju te opći i posebni</w:t>
      </w:r>
    </w:p>
    <w:p w14:paraId="416B744C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dio polugodišnjeg i godišnjeg izvještaja o izvršenju proračuna objavljuju se u</w:t>
      </w:r>
    </w:p>
    <w:p w14:paraId="52596BA3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službenom glasilu jedinica lokalne i područne (regionalne) samouprave,</w:t>
      </w:r>
    </w:p>
    <w:p w14:paraId="4B8338DC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eastAsia="CIDFont+F6" w:hAnsi="Times New Roman" w:cs="Times New Roman"/>
          <w:color w:val="000000"/>
          <w:sz w:val="24"/>
          <w:szCs w:val="24"/>
          <w14:ligatures w14:val="standardContextual"/>
        </w:rPr>
        <w:t xml:space="preserve"> 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Opći i posebni dio polugodišnjeg i godišnjeg izvještaja o izvršenju financijskog plana</w:t>
      </w:r>
    </w:p>
    <w:p w14:paraId="0429384D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izvanproračunskog korisnika objavljuju se u službenom glasilu jedinica lokalne i</w:t>
      </w:r>
    </w:p>
    <w:p w14:paraId="3C61966C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područne (regionalne) samouprave,</w:t>
      </w:r>
    </w:p>
    <w:p w14:paraId="06D48CC6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eastAsia="CIDFont+F6" w:hAnsi="Times New Roman" w:cs="Times New Roman"/>
          <w:color w:val="000000"/>
          <w:sz w:val="24"/>
          <w:szCs w:val="24"/>
          <w14:ligatures w14:val="standardContextual"/>
        </w:rPr>
        <w:t xml:space="preserve"> 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Vodič za građane o proračunu, izmjenama i dopunama proračuna te polugodišnjem i</w:t>
      </w:r>
    </w:p>
    <w:p w14:paraId="23292BBF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godišnjem izvještaju o izvršenju proračuna objavljuje se na mrežnim stranicama</w:t>
      </w:r>
    </w:p>
    <w:p w14:paraId="7D80117B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jedinica lokalne i područne (regionalne) samouprave.</w:t>
      </w:r>
    </w:p>
    <w:p w14:paraId="352B8662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16</w:t>
      </w:r>
    </w:p>
    <w:p w14:paraId="61CF2A40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 skladu sa dosadašnjom praksom, a vezano za transparentnost proračuna, Ministarstvo</w:t>
      </w:r>
    </w:p>
    <w:p w14:paraId="6394D27B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financija i dalje preporuča jedinicama lokalne i područne (regionalne) samouprave da na</w:t>
      </w:r>
    </w:p>
    <w:p w14:paraId="5F5BB4D7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svojim mrežnim stranicama:</w:t>
      </w:r>
    </w:p>
    <w:p w14:paraId="5C35751E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eastAsia="CIDFont+F6" w:hAnsi="Times New Roman" w:cs="Times New Roman"/>
          <w:color w:val="000000"/>
          <w:sz w:val="24"/>
          <w:szCs w:val="24"/>
          <w14:ligatures w14:val="standardContextual"/>
        </w:rPr>
        <w:t xml:space="preserve"> 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sve ključne proračunske dokumente (a posebice prijedlog proračuna, izglasani</w:t>
      </w:r>
    </w:p>
    <w:p w14:paraId="09DAF803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proračun, izmjene i dopune proračuna, proračunski vodič, polugodišnji i godišnji</w:t>
      </w:r>
    </w:p>
    <w:p w14:paraId="30694516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izvještaji o izvršenju proračuna) objavljuju u jedinstvenom folderu nazvanom</w:t>
      </w:r>
    </w:p>
    <w:p w14:paraId="518C2718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PRORAČUN, na kojeg postoji direktan link s naslovne stranice,</w:t>
      </w:r>
    </w:p>
    <w:p w14:paraId="08C4B636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eastAsia="CIDFont+F6" w:hAnsi="Times New Roman" w:cs="Times New Roman"/>
          <w:color w:val="000000"/>
          <w:sz w:val="24"/>
          <w:szCs w:val="24"/>
          <w14:ligatures w14:val="standardContextual"/>
        </w:rPr>
        <w:t xml:space="preserve"> 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pri objavi prijedloga proračuna, izglasanog proračuna te izmjena i dopuna proračuna</w:t>
      </w:r>
    </w:p>
    <w:p w14:paraId="7D8EFE12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objavljuju kompletan sadržaj tih proračunskih dokumenata (opći i posebni dio</w:t>
      </w:r>
    </w:p>
    <w:p w14:paraId="71B5EB2D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proračuna),</w:t>
      </w:r>
    </w:p>
    <w:p w14:paraId="6B0C1A40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eastAsia="CIDFont+F6" w:hAnsi="Times New Roman" w:cs="Times New Roman"/>
          <w:color w:val="000000"/>
          <w:sz w:val="24"/>
          <w:szCs w:val="24"/>
          <w14:ligatures w14:val="standardContextual"/>
        </w:rPr>
        <w:t xml:space="preserve"> 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usvojeni proračuni objavljuju, sukladno odredbama Zakona o proračunu, za</w:t>
      </w:r>
    </w:p>
    <w:p w14:paraId="4A5801A9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proračunsku godinu i za sljedeće dvije godine na drugoj razini računskoga plana (na</w:t>
      </w:r>
    </w:p>
    <w:p w14:paraId="2D448657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razini skupine) i</w:t>
      </w:r>
    </w:p>
    <w:p w14:paraId="38E27832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eastAsia="CIDFont+F6" w:hAnsi="Times New Roman" w:cs="Times New Roman"/>
          <w:color w:val="000000"/>
          <w:sz w:val="24"/>
          <w:szCs w:val="24"/>
          <w14:ligatures w14:val="standardContextual"/>
        </w:rPr>
        <w:t xml:space="preserve"> 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proračunske vodiče za građane, na zahtjev građana, distribuiraju građanima svake</w:t>
      </w:r>
    </w:p>
    <w:p w14:paraId="6329DFAB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godine u obliku brošure (fizičke i elektroničke), o trošku proračuna.</w:t>
      </w:r>
    </w:p>
    <w:p w14:paraId="5876843A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Zakonom o lokalnoj i područnoj (regionalnoj) samoupravi (Narodne novine, br. 33/01, 60/01,</w:t>
      </w:r>
    </w:p>
    <w:p w14:paraId="55BB8E7E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129/05, 109/07, 125/08, 36/09, 150/11, 144/12, 19/13 - pročišćeni tekst, 137/15 - ispravak,</w:t>
      </w:r>
    </w:p>
    <w:p w14:paraId="1756676B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123/17, 98/19 i 144/20) propisano je da su općina, grad i županija dužne na svojim mrežnim</w:t>
      </w:r>
    </w:p>
    <w:p w14:paraId="68CA4012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lastRenderedPageBreak/>
        <w:t>stranicama javno objaviti informacije o trošenju proračunskih sredstava tako da te</w:t>
      </w:r>
    </w:p>
    <w:p w14:paraId="3208E854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informacije budu lako dostupne i </w:t>
      </w:r>
      <w:proofErr w:type="spellStart"/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pretražive</w:t>
      </w:r>
      <w:proofErr w:type="spellEnd"/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 Zakonom o proračunu također je propisano da</w:t>
      </w:r>
    </w:p>
    <w:p w14:paraId="1AC5A6AD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su jedinice lokalne i područne (regionalne) samouprave, proračunski i izvanproračunski</w:t>
      </w:r>
    </w:p>
    <w:p w14:paraId="2B97EB41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korisnici dužni javno objavljivati informacije o trošenju sredstava na svojim mrežnim</w:t>
      </w:r>
    </w:p>
    <w:p w14:paraId="7E28DD20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stranicama na način da te informacije budu lako dostupne, </w:t>
      </w:r>
      <w:proofErr w:type="spellStart"/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pretražive</w:t>
      </w:r>
      <w:proofErr w:type="spellEnd"/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i strojno čitljive.</w:t>
      </w:r>
    </w:p>
    <w:p w14:paraId="00B7FD87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Ministar financija je, sukladno članku 144. Zakona o proračunu, u svibnju 2023. godine</w:t>
      </w:r>
    </w:p>
    <w:p w14:paraId="2D85E2E9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donio Naputak o okvirnom sadržaju, minimalnom skupu podataka te načinu javne objave</w:t>
      </w:r>
    </w:p>
    <w:p w14:paraId="045EC756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informacija o trošenju sredstava na mrežnim stranicama jedinica lokalne i područne</w:t>
      </w:r>
    </w:p>
    <w:p w14:paraId="4311E02F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(regionalne) samouprave te proračunskih i izvanproračunskih korisnika državnog proračuna</w:t>
      </w:r>
    </w:p>
    <w:p w14:paraId="70910F24" w14:textId="77777777" w:rsidR="00C02FCF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i proračuna jedinica lokalne i područne (regionalne) samouprave. </w:t>
      </w:r>
    </w:p>
    <w:p w14:paraId="7FA19596" w14:textId="5391785F" w:rsidR="0016371D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Isti je objavljen u Narodnim</w:t>
      </w:r>
      <w:r w:rsidR="00C02FCF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novinama broj 59/23 od 2. lipnja 2023., (</w:t>
      </w:r>
      <w:r w:rsidRPr="0016371D">
        <w:rPr>
          <w:rFonts w:ascii="Times New Roman" w:hAnsi="Times New Roman" w:cs="Times New Roman"/>
          <w:color w:val="0000FF"/>
          <w:sz w:val="24"/>
          <w:szCs w:val="24"/>
          <w14:ligatures w14:val="standardContextual"/>
        </w:rPr>
        <w:t>https://narodnenovine.nn.hr/clanci/sluzbeni/2023_06_59_1003.html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) </w:t>
      </w:r>
    </w:p>
    <w:p w14:paraId="2886687F" w14:textId="77777777" w:rsidR="0016371D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te na mrežnoj stranici Ministarstva</w:t>
      </w:r>
      <w:r w:rsidR="0016371D"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financija</w:t>
      </w:r>
    </w:p>
    <w:p w14:paraId="2BE688AB" w14:textId="476390F3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(</w:t>
      </w:r>
      <w:r w:rsidRPr="0016371D">
        <w:rPr>
          <w:rFonts w:ascii="Times New Roman" w:hAnsi="Times New Roman" w:cs="Times New Roman"/>
          <w:color w:val="0000FF"/>
          <w:sz w:val="24"/>
          <w:szCs w:val="24"/>
          <w14:ligatures w14:val="standardContextual"/>
        </w:rPr>
        <w:t>https://mfin.gov.hr/istaknute-teme/drzavna-riznica/izvrsenjeproracuna/institucionalni-okvir-164/164</w:t>
      </w: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).</w:t>
      </w:r>
    </w:p>
    <w:p w14:paraId="4615C45D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Obveznici primjene Naputka su jedinice lokalne i područne (regionalne) samouprave,</w:t>
      </w:r>
    </w:p>
    <w:p w14:paraId="4C1AFF1F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proračunski i izvanproračunski korisnici državnog proračuna i proračuna jedinica lokalne i</w:t>
      </w:r>
    </w:p>
    <w:p w14:paraId="42BA3236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područne (regionalne) samouprave.</w:t>
      </w:r>
    </w:p>
    <w:p w14:paraId="7C25154F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Naputkom se propisuje okvirni sadržaj, minimalni skup podataka te način javne objave</w:t>
      </w:r>
    </w:p>
    <w:p w14:paraId="35AF73C8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informacija o trošenju sredstava na mrežnim stranicama jedinica lokalne i područne</w:t>
      </w:r>
    </w:p>
    <w:p w14:paraId="26F991B4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(regionalne) samouprave te proračunskih korisnika u njihovoj nadležnosti.</w:t>
      </w:r>
    </w:p>
    <w:p w14:paraId="4F577C42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Ovaj Naputak stupio je na snagu osmog dana od dana objave u Narodnim novinama,</w:t>
      </w:r>
    </w:p>
    <w:p w14:paraId="6A46CFF5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međutim, one jedinice koje još nisu krenule s primjenom, podsjećamo da su, sukladno</w:t>
      </w:r>
    </w:p>
    <w:p w14:paraId="39A4DDFE" w14:textId="77777777" w:rsidR="008E4EA6" w:rsidRPr="0016371D" w:rsidRDefault="008E4EA6" w:rsidP="008E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odredbama Naputka, prve informacije o trošenju sredstava dužne objaviti za mjesec siječanj</w:t>
      </w:r>
    </w:p>
    <w:p w14:paraId="09E7C9E8" w14:textId="04E53A03" w:rsidR="008E4EA6" w:rsidRPr="0016371D" w:rsidRDefault="008E4EA6" w:rsidP="001637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637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2024. godine i to do 20. veljače 2024. godine.</w:t>
      </w:r>
    </w:p>
    <w:p w14:paraId="0F1DA89A" w14:textId="77777777" w:rsidR="0016371D" w:rsidRPr="0016371D" w:rsidRDefault="0016371D" w:rsidP="001637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31D31F" w14:textId="77777777" w:rsidR="008E4EA6" w:rsidRDefault="008E4EA6" w:rsidP="0005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BA22100" w14:textId="77777777" w:rsidR="00054E26" w:rsidRPr="002D78D5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</w:p>
    <w:p w14:paraId="75D8E440" w14:textId="3488877D" w:rsidR="00054E26" w:rsidRPr="002D78D5" w:rsidRDefault="00054E26" w:rsidP="00B40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Ove Upute dostavljaju se </w:t>
      </w:r>
      <w:r w:rsidR="00541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gradonačelniku, </w:t>
      </w:r>
      <w:r w:rsidR="00B40B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upravnim odjelima i </w:t>
      </w: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proračunskim korisnicima Grada Čazme. </w:t>
      </w:r>
    </w:p>
    <w:p w14:paraId="1CB950A1" w14:textId="77777777" w:rsidR="00054E26" w:rsidRPr="002D78D5" w:rsidRDefault="00054E26" w:rsidP="00B40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570131" w14:textId="77777777" w:rsidR="00054E26" w:rsidRPr="002D78D5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559F8" w14:textId="77777777" w:rsidR="00054E26" w:rsidRPr="002D78D5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9362B" w14:textId="77777777" w:rsidR="00054E26" w:rsidRPr="002D78D5" w:rsidRDefault="00054E26" w:rsidP="000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CFD680" w14:textId="77777777" w:rsidR="00054E26" w:rsidRPr="002D78D5" w:rsidRDefault="00054E26" w:rsidP="00054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64F1C2" w14:textId="77777777" w:rsidR="00054E26" w:rsidRPr="00134786" w:rsidRDefault="00054E26" w:rsidP="00054E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47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PROČELNIK</w:t>
      </w:r>
    </w:p>
    <w:p w14:paraId="0F9B8E73" w14:textId="77777777" w:rsidR="00054E26" w:rsidRDefault="00054E26" w:rsidP="00054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7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</w:t>
      </w:r>
    </w:p>
    <w:p w14:paraId="5DB485A0" w14:textId="77777777" w:rsidR="00054E26" w:rsidRPr="002C7644" w:rsidRDefault="00054E26" w:rsidP="00054E26">
      <w:p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</w:t>
      </w:r>
      <w:r w:rsidRPr="002C7644">
        <w:rPr>
          <w:rFonts w:ascii="Times New Roman" w:hAnsi="Times New Roman" w:cs="Times New Roman"/>
          <w:sz w:val="24"/>
          <w:szCs w:val="24"/>
          <w:lang w:eastAsia="hr-HR"/>
        </w:rPr>
        <w:t xml:space="preserve">Mario Ivanović, </w:t>
      </w:r>
      <w:proofErr w:type="spellStart"/>
      <w:r w:rsidRPr="002C7644">
        <w:rPr>
          <w:rFonts w:ascii="Times New Roman" w:hAnsi="Times New Roman" w:cs="Times New Roman"/>
          <w:sz w:val="24"/>
          <w:szCs w:val="24"/>
          <w:lang w:eastAsia="hr-HR"/>
        </w:rPr>
        <w:t>mag.ing.aedif</w:t>
      </w:r>
      <w:proofErr w:type="spellEnd"/>
      <w:r w:rsidRPr="002C764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1773FA3" w14:textId="77777777" w:rsidR="00054E26" w:rsidRPr="002D78D5" w:rsidRDefault="00054E26" w:rsidP="00054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7DD88C" w14:textId="77777777" w:rsidR="0012444E" w:rsidRDefault="0012444E"/>
    <w:sectPr w:rsidR="0012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0AFD5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9C434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06F0329"/>
    <w:multiLevelType w:val="hybridMultilevel"/>
    <w:tmpl w:val="10A26330"/>
    <w:lvl w:ilvl="0" w:tplc="1BEEDF2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A882F41A">
      <w:start w:val="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" w15:restartNumberingAfterBreak="0">
    <w:nsid w:val="4A0565C4"/>
    <w:multiLevelType w:val="hybridMultilevel"/>
    <w:tmpl w:val="10922534"/>
    <w:lvl w:ilvl="0" w:tplc="621C493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C38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6829030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498417">
    <w:abstractNumId w:val="4"/>
  </w:num>
  <w:num w:numId="3" w16cid:durableId="2067754091">
    <w:abstractNumId w:val="1"/>
  </w:num>
  <w:num w:numId="4" w16cid:durableId="280116617">
    <w:abstractNumId w:val="3"/>
  </w:num>
  <w:num w:numId="5" w16cid:durableId="1520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26"/>
    <w:rsid w:val="0005012B"/>
    <w:rsid w:val="00054696"/>
    <w:rsid w:val="00054E26"/>
    <w:rsid w:val="00070CCB"/>
    <w:rsid w:val="00103563"/>
    <w:rsid w:val="0012444E"/>
    <w:rsid w:val="0016371D"/>
    <w:rsid w:val="0020202B"/>
    <w:rsid w:val="00286723"/>
    <w:rsid w:val="00370A7E"/>
    <w:rsid w:val="005164F3"/>
    <w:rsid w:val="00541C9E"/>
    <w:rsid w:val="005A6E7F"/>
    <w:rsid w:val="00751B15"/>
    <w:rsid w:val="00756CC2"/>
    <w:rsid w:val="007A3A72"/>
    <w:rsid w:val="007B60EF"/>
    <w:rsid w:val="007E4409"/>
    <w:rsid w:val="00813967"/>
    <w:rsid w:val="00866E8C"/>
    <w:rsid w:val="008E4EA6"/>
    <w:rsid w:val="009C2B8E"/>
    <w:rsid w:val="00B125F2"/>
    <w:rsid w:val="00B40BE8"/>
    <w:rsid w:val="00BC06C9"/>
    <w:rsid w:val="00C02FCF"/>
    <w:rsid w:val="00C06A4F"/>
    <w:rsid w:val="00C53A60"/>
    <w:rsid w:val="00D46274"/>
    <w:rsid w:val="00DD13D9"/>
    <w:rsid w:val="00DD5CE9"/>
    <w:rsid w:val="00E6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C021"/>
  <w15:chartTrackingRefBased/>
  <w15:docId w15:val="{EE4F5B8B-E577-4EA6-A308-F3CF7CA7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2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4E26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table" w:styleId="Reetkatablice">
    <w:name w:val="Table Grid"/>
    <w:basedOn w:val="Obinatablica"/>
    <w:rsid w:val="00054E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54E2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54E26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4627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70A7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0A7E"/>
    <w:pPr>
      <w:widowControl w:val="0"/>
      <w:autoSpaceDE w:val="0"/>
      <w:autoSpaceDN w:val="0"/>
      <w:spacing w:after="0" w:line="240" w:lineRule="auto"/>
      <w:jc w:val="right"/>
    </w:pPr>
    <w:rPr>
      <w:rFonts w:ascii="Calibri" w:eastAsia="Calibri" w:hAnsi="Calibri" w:cs="Calibri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n.gov.hr/istaknute-teme/lokalna-samouprava/upute-za-izradu-proracuna-jlp-r-s/2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zma.hr/proracun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3953</Words>
  <Characters>22534</Characters>
  <Application>Microsoft Office Word</Application>
  <DocSecurity>0</DocSecurity>
  <Lines>187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Petrina Čazma</dc:creator>
  <cp:keywords/>
  <dc:description/>
  <cp:lastModifiedBy>Snježana Mišković</cp:lastModifiedBy>
  <cp:revision>2</cp:revision>
  <dcterms:created xsi:type="dcterms:W3CDTF">2023-10-02T11:48:00Z</dcterms:created>
  <dcterms:modified xsi:type="dcterms:W3CDTF">2023-10-02T11:48:00Z</dcterms:modified>
</cp:coreProperties>
</file>